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41" w:rsidRPr="00B507DE" w:rsidRDefault="00133941">
      <w:pPr>
        <w:pStyle w:val="ConsPlusNormal"/>
        <w:jc w:val="both"/>
        <w:outlineLvl w:val="0"/>
      </w:pPr>
      <w:bookmarkStart w:id="0" w:name="_GoBack"/>
    </w:p>
    <w:p w:rsidR="00133941" w:rsidRPr="00B507DE" w:rsidRDefault="00133941">
      <w:pPr>
        <w:pStyle w:val="ConsPlusNormal"/>
        <w:jc w:val="right"/>
      </w:pPr>
      <w:r w:rsidRPr="00B507DE">
        <w:t>Приложение В</w:t>
      </w:r>
    </w:p>
    <w:p w:rsidR="00133941" w:rsidRPr="00B507DE" w:rsidRDefault="00133941">
      <w:pPr>
        <w:pStyle w:val="ConsPlusNormal"/>
        <w:jc w:val="right"/>
      </w:pPr>
      <w:r w:rsidRPr="00B507DE">
        <w:t xml:space="preserve">к Методическим </w:t>
      </w:r>
      <w:hyperlink r:id="rId4" w:history="1">
        <w:r w:rsidRPr="00B507DE">
          <w:t>рекомендациям</w:t>
        </w:r>
      </w:hyperlink>
    </w:p>
    <w:p w:rsidR="00133941" w:rsidRPr="00B507DE" w:rsidRDefault="00133941">
      <w:pPr>
        <w:pStyle w:val="ConsPlusNormal"/>
        <w:jc w:val="right"/>
      </w:pPr>
      <w:r w:rsidRPr="00B507DE">
        <w:t>по обследованию технического</w:t>
      </w:r>
    </w:p>
    <w:p w:rsidR="00133941" w:rsidRPr="00B507DE" w:rsidRDefault="00133941">
      <w:pPr>
        <w:pStyle w:val="ConsPlusNormal"/>
        <w:jc w:val="right"/>
      </w:pPr>
      <w:r w:rsidRPr="00B507DE">
        <w:t>состояния и расчету остаточного</w:t>
      </w:r>
    </w:p>
    <w:p w:rsidR="00133941" w:rsidRPr="00B507DE" w:rsidRDefault="00133941">
      <w:pPr>
        <w:pStyle w:val="ConsPlusNormal"/>
        <w:jc w:val="right"/>
      </w:pPr>
      <w:r w:rsidRPr="00B507DE">
        <w:t>ресурса с целью определения</w:t>
      </w:r>
    </w:p>
    <w:p w:rsidR="00133941" w:rsidRPr="00B507DE" w:rsidRDefault="00133941">
      <w:pPr>
        <w:pStyle w:val="ConsPlusNormal"/>
        <w:jc w:val="right"/>
      </w:pPr>
      <w:r w:rsidRPr="00B507DE">
        <w:t>возможности продления срока</w:t>
      </w:r>
    </w:p>
    <w:p w:rsidR="00133941" w:rsidRPr="00B507DE" w:rsidRDefault="00133941">
      <w:pPr>
        <w:pStyle w:val="ConsPlusNormal"/>
        <w:jc w:val="right"/>
      </w:pPr>
      <w:r w:rsidRPr="00B507DE">
        <w:t>безопасной эксплуатации лифтов.</w:t>
      </w:r>
    </w:p>
    <w:p w:rsidR="00133941" w:rsidRPr="00B507DE" w:rsidRDefault="00133941">
      <w:pPr>
        <w:pStyle w:val="ConsPlusNormal"/>
        <w:jc w:val="right"/>
      </w:pPr>
      <w:r w:rsidRPr="00B507DE">
        <w:t>МР 10-72-04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right"/>
      </w:pPr>
      <w:r w:rsidRPr="00B507DE">
        <w:t>Рекомендуемая форма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___________________________________________________________________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(на бланке экспертной организации)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АКТ N ________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ТЕХНИЧЕСКОГО ОБСЛЕДОВАНИЯ ЭЛЕМЕНТОВ МЕТАЛЛОКОНСТРУКЦИЙ ЛИФТА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>Регистрационный (заводской) N лифта _______________________________</w:t>
      </w:r>
    </w:p>
    <w:p w:rsidR="00133941" w:rsidRPr="00B507DE" w:rsidRDefault="00133941">
      <w:pPr>
        <w:pStyle w:val="ConsPlusNonformat"/>
        <w:jc w:val="both"/>
      </w:pPr>
      <w:r w:rsidRPr="00B507DE">
        <w:t>Адрес: ____________________________________________________________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(город, улица, дом, корпус)</w:t>
      </w:r>
    </w:p>
    <w:p w:rsidR="00133941" w:rsidRPr="00B507DE" w:rsidRDefault="00133941">
      <w:pPr>
        <w:pStyle w:val="ConsPlusNonformat"/>
        <w:jc w:val="both"/>
      </w:pPr>
      <w:r w:rsidRPr="00B507DE">
        <w:t>Заказчик: _________________________________________________________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(наименование организации)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Руководитель экспертной организации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___________ _______________________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(</w:t>
      </w:r>
      <w:proofErr w:type="gramStart"/>
      <w:r w:rsidRPr="00B507DE">
        <w:t xml:space="preserve">подпись)   </w:t>
      </w:r>
      <w:proofErr w:type="gramEnd"/>
      <w:r w:rsidRPr="00B507DE">
        <w:t xml:space="preserve">      (Ф.И.О.)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М.П.       "__" ___________ 20__ г.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г. Москва 200_ г.</w:t>
      </w: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                Утверждаю: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       Руководитель группы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(</w:t>
      </w:r>
      <w:proofErr w:type="spellStart"/>
      <w:r w:rsidRPr="00B507DE">
        <w:t>дефектоскопист</w:t>
      </w:r>
      <w:proofErr w:type="spellEnd"/>
      <w:r w:rsidRPr="00B507DE">
        <w:t xml:space="preserve"> II уровня)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 _________ (_____________)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 (</w:t>
      </w:r>
      <w:proofErr w:type="gramStart"/>
      <w:r w:rsidRPr="00B507DE">
        <w:t xml:space="preserve">подпись)   </w:t>
      </w:r>
      <w:proofErr w:type="gramEnd"/>
      <w:r w:rsidRPr="00B507DE">
        <w:t xml:space="preserve">  (Ф.И.О.)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     "__" ____________ 20__ г.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1. Сведения об экспертной организации, специалистах</w:t>
      </w:r>
    </w:p>
    <w:p w:rsidR="00133941" w:rsidRPr="00B507DE" w:rsidRDefault="0013394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78"/>
        <w:gridCol w:w="924"/>
        <w:gridCol w:w="1618"/>
        <w:gridCol w:w="2198"/>
      </w:tblGrid>
      <w:tr w:rsidR="00B507DE" w:rsidRPr="00B507DE" w:rsidTr="00B507DE">
        <w:trPr>
          <w:trHeight w:val="237"/>
        </w:trPr>
        <w:tc>
          <w:tcPr>
            <w:tcW w:w="4278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Сведения о специалистах      </w:t>
            </w:r>
          </w:p>
        </w:tc>
        <w:tc>
          <w:tcPr>
            <w:tcW w:w="924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Ф.И.О.</w:t>
            </w:r>
          </w:p>
        </w:tc>
        <w:tc>
          <w:tcPr>
            <w:tcW w:w="1618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Уровень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>квалификации</w:t>
            </w:r>
          </w:p>
        </w:tc>
        <w:tc>
          <w:tcPr>
            <w:tcW w:w="2196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N удостоверения,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срок действия  </w:t>
            </w:r>
          </w:p>
        </w:tc>
      </w:tr>
      <w:tr w:rsidR="00B507DE" w:rsidRPr="00B507DE" w:rsidTr="00B507DE">
        <w:trPr>
          <w:trHeight w:val="237"/>
        </w:trPr>
        <w:tc>
          <w:tcPr>
            <w:tcW w:w="42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Руководитель группы  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19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7"/>
        </w:trPr>
        <w:tc>
          <w:tcPr>
            <w:tcW w:w="4278" w:type="dxa"/>
            <w:vMerge w:val="restart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Специалисты (</w:t>
            </w:r>
            <w:proofErr w:type="gramStart"/>
            <w:r w:rsidRPr="00B507DE">
              <w:t xml:space="preserve">обследователи)   </w:t>
            </w:r>
            <w:proofErr w:type="gramEnd"/>
            <w:r w:rsidRPr="00B507DE">
              <w:t xml:space="preserve">     </w:t>
            </w:r>
          </w:p>
        </w:tc>
        <w:tc>
          <w:tcPr>
            <w:tcW w:w="924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19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344"/>
        </w:trPr>
        <w:tc>
          <w:tcPr>
            <w:tcW w:w="4278" w:type="dxa"/>
            <w:vMerge/>
          </w:tcPr>
          <w:p w:rsidR="00133941" w:rsidRPr="00B507DE" w:rsidRDefault="00133941"/>
        </w:tc>
        <w:tc>
          <w:tcPr>
            <w:tcW w:w="924" w:type="dxa"/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8" w:type="dxa"/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196" w:type="dxa"/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7"/>
        </w:trPr>
        <w:tc>
          <w:tcPr>
            <w:tcW w:w="9018" w:type="dxa"/>
            <w:gridSpan w:val="4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Лицензия на экспертизу промышленной безопасности технических устройств,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применяемых на опасных производственных объектах                         </w:t>
            </w:r>
          </w:p>
        </w:tc>
      </w:tr>
      <w:tr w:rsidR="00B507DE" w:rsidRPr="00B507DE" w:rsidTr="00B507DE">
        <w:trPr>
          <w:trHeight w:val="237"/>
        </w:trPr>
        <w:tc>
          <w:tcPr>
            <w:tcW w:w="42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N лицензии                         </w:t>
            </w:r>
          </w:p>
        </w:tc>
        <w:tc>
          <w:tcPr>
            <w:tcW w:w="4740" w:type="dxa"/>
            <w:gridSpan w:val="3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7"/>
        </w:trPr>
        <w:tc>
          <w:tcPr>
            <w:tcW w:w="42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Срок действия                      </w:t>
            </w:r>
          </w:p>
        </w:tc>
        <w:tc>
          <w:tcPr>
            <w:tcW w:w="4740" w:type="dxa"/>
            <w:gridSpan w:val="3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</w:tbl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2. Назначение, краткая техническая характеристика лифта</w:t>
      </w:r>
    </w:p>
    <w:p w:rsidR="00133941" w:rsidRPr="00B507DE" w:rsidRDefault="0013394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92"/>
        <w:gridCol w:w="2478"/>
      </w:tblGrid>
      <w:tr w:rsidR="00B507DE" w:rsidRPr="00B507DE" w:rsidTr="00B507DE">
        <w:trPr>
          <w:trHeight w:val="234"/>
        </w:trPr>
        <w:tc>
          <w:tcPr>
            <w:tcW w:w="6492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lastRenderedPageBreak/>
              <w:t>Назначение лифта (пассажирский, грузовой, больничный)</w:t>
            </w:r>
          </w:p>
        </w:tc>
        <w:tc>
          <w:tcPr>
            <w:tcW w:w="2478" w:type="dxa"/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4"/>
        </w:trPr>
        <w:tc>
          <w:tcPr>
            <w:tcW w:w="6492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Номинальная грузоподъемность, кг                     </w:t>
            </w:r>
          </w:p>
        </w:tc>
        <w:tc>
          <w:tcPr>
            <w:tcW w:w="24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4"/>
        </w:trPr>
        <w:tc>
          <w:tcPr>
            <w:tcW w:w="6492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Номинальная скорость, м/с                            </w:t>
            </w:r>
          </w:p>
        </w:tc>
        <w:tc>
          <w:tcPr>
            <w:tcW w:w="24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4"/>
        </w:trPr>
        <w:tc>
          <w:tcPr>
            <w:tcW w:w="6492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Число остановок (</w:t>
            </w:r>
            <w:proofErr w:type="gramStart"/>
            <w:r w:rsidRPr="00B507DE">
              <w:t xml:space="preserve">этажей)   </w:t>
            </w:r>
            <w:proofErr w:type="gramEnd"/>
            <w:r w:rsidRPr="00B507DE">
              <w:t xml:space="preserve">                          </w:t>
            </w:r>
          </w:p>
        </w:tc>
        <w:tc>
          <w:tcPr>
            <w:tcW w:w="24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</w:tbl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center"/>
      </w:pPr>
      <w:r w:rsidRPr="00B507DE">
        <w:t>3. Перечень использованной нормативной</w:t>
      </w:r>
    </w:p>
    <w:p w:rsidR="00133941" w:rsidRPr="00B507DE" w:rsidRDefault="00133941">
      <w:pPr>
        <w:pStyle w:val="ConsPlusNormal"/>
        <w:jc w:val="center"/>
      </w:pPr>
      <w:r w:rsidRPr="00B507DE">
        <w:t>и методической документации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  <w:r w:rsidRPr="00B507DE">
        <w:t>Обследование проведено в соответствии: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МР 10-72-04 "Методические рекомендации по обследованию технического состояния и расчету остаточного ресурса с целью определения возможности продления срока безопасной эксплуатации лифтов".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РД РОЭК 02-008-96. Контроль неразрушающий. Основные положения.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(Другие использованные нормативно-технические документы - указать.)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РД 03-606-03 "</w:t>
      </w:r>
      <w:hyperlink r:id="rId5" w:history="1">
        <w:r w:rsidRPr="00B507DE">
          <w:t>Инструкция</w:t>
        </w:r>
      </w:hyperlink>
      <w:r w:rsidRPr="00B507DE">
        <w:t xml:space="preserve"> по визуальному и измерительному контролю".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РД СИЦ "</w:t>
      </w:r>
      <w:proofErr w:type="spellStart"/>
      <w:r w:rsidRPr="00B507DE">
        <w:t>Экспертлифт</w:t>
      </w:r>
      <w:proofErr w:type="spellEnd"/>
      <w:r w:rsidRPr="00B507DE">
        <w:t>" 05-001-2002 "Методические указания по магнитному контролю металлоконструкций лифтов".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center"/>
      </w:pPr>
      <w:r w:rsidRPr="00B507DE">
        <w:t xml:space="preserve">4. Перечень средств и приборов </w:t>
      </w:r>
      <w:proofErr w:type="spellStart"/>
      <w:r w:rsidRPr="00B507DE">
        <w:t>неразрушаюшего</w:t>
      </w:r>
      <w:proofErr w:type="spellEnd"/>
      <w:r w:rsidRPr="00B507DE">
        <w:t xml:space="preserve"> контроля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  <w:r w:rsidRPr="00B507DE">
        <w:t>При обследовании были использованы средства визуального и измерительного контроля: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Линейка измерительная по ГОСТ 26706;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Линейки измерительные металлические по ГОСТ 4227;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Угольники поверочные 90° по ГОСТ 3749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Штангенциркуль по ГОСТ 166;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Микрометры по ГОСТ 6507;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Лупа 6 - 10-кратная.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(Другие использованные средства - указать.)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  <w:r w:rsidRPr="00B507DE">
        <w:t>Приборы:</w:t>
      </w:r>
    </w:p>
    <w:p w:rsidR="00133941" w:rsidRPr="00B507DE" w:rsidRDefault="0013394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501"/>
        <w:gridCol w:w="1023"/>
        <w:gridCol w:w="2047"/>
      </w:tblGrid>
      <w:tr w:rsidR="00B507DE" w:rsidRPr="00B507DE" w:rsidTr="00B507DE">
        <w:trPr>
          <w:trHeight w:val="236"/>
        </w:trPr>
        <w:tc>
          <w:tcPr>
            <w:tcW w:w="511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N </w:t>
            </w:r>
          </w:p>
        </w:tc>
        <w:tc>
          <w:tcPr>
            <w:tcW w:w="5501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  Наименование, тип прибора        </w:t>
            </w:r>
          </w:p>
        </w:tc>
        <w:tc>
          <w:tcPr>
            <w:tcW w:w="1023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Зав. N</w:t>
            </w:r>
          </w:p>
        </w:tc>
        <w:tc>
          <w:tcPr>
            <w:tcW w:w="2047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Срок следующей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поверки    </w:t>
            </w: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Измеритель концентраций напряжений  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магнитометрический          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2.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Магнитный (токовихревой) индикатор трещин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3.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Ультразвуковой дефектоскоп  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4.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Ультразвуковой </w:t>
            </w:r>
            <w:proofErr w:type="spellStart"/>
            <w:r w:rsidRPr="00B507DE">
              <w:t>толщиномер</w:t>
            </w:r>
            <w:proofErr w:type="spellEnd"/>
            <w:r w:rsidRPr="00B507DE">
              <w:t xml:space="preserve">   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5.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Магнитный </w:t>
            </w:r>
            <w:proofErr w:type="spellStart"/>
            <w:r w:rsidRPr="00B507DE">
              <w:t>структуроскоп</w:t>
            </w:r>
            <w:proofErr w:type="spellEnd"/>
            <w:r w:rsidRPr="00B507DE">
              <w:t xml:space="preserve">      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lastRenderedPageBreak/>
              <w:t>6.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Другие использованные приборы            </w:t>
            </w: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6"/>
        </w:trPr>
        <w:tc>
          <w:tcPr>
            <w:tcW w:w="51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7.</w:t>
            </w:r>
          </w:p>
        </w:tc>
        <w:tc>
          <w:tcPr>
            <w:tcW w:w="5501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023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047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</w:tbl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center"/>
      </w:pPr>
      <w:r w:rsidRPr="00B507DE">
        <w:t>5. Результаты обследования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right"/>
      </w:pPr>
      <w:bookmarkStart w:id="1" w:name="P117"/>
      <w:bookmarkEnd w:id="1"/>
      <w:r w:rsidRPr="00B507DE">
        <w:t>Таблица 1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center"/>
      </w:pPr>
      <w:r w:rsidRPr="00B507DE">
        <w:t>Результаты обследования металлоконструкций лифта</w:t>
      </w:r>
    </w:p>
    <w:p w:rsidR="00133941" w:rsidRPr="00B507DE" w:rsidRDefault="0013394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2776"/>
        <w:gridCol w:w="1619"/>
        <w:gridCol w:w="2545"/>
        <w:gridCol w:w="1619"/>
      </w:tblGrid>
      <w:tr w:rsidR="00B507DE" w:rsidRPr="00B507DE" w:rsidTr="00B507DE">
        <w:trPr>
          <w:trHeight w:val="230"/>
        </w:trPr>
        <w:tc>
          <w:tcPr>
            <w:tcW w:w="578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N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>п/п</w:t>
            </w:r>
          </w:p>
        </w:tc>
        <w:tc>
          <w:tcPr>
            <w:tcW w:w="2776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Наименование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обследованных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металлоконструкций  </w:t>
            </w:r>
          </w:p>
        </w:tc>
        <w:tc>
          <w:tcPr>
            <w:tcW w:w="1619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Метод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контроля </w:t>
            </w:r>
            <w:hyperlink w:anchor="P177" w:history="1">
              <w:r w:rsidRPr="00B507DE">
                <w:t>&lt;*&gt;</w:t>
              </w:r>
            </w:hyperlink>
          </w:p>
        </w:tc>
        <w:tc>
          <w:tcPr>
            <w:tcW w:w="2545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Выявленные дефекты и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>их месторасположение</w:t>
            </w:r>
          </w:p>
        </w:tc>
        <w:tc>
          <w:tcPr>
            <w:tcW w:w="1619" w:type="dxa"/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Рекомендации</w:t>
            </w: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1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   2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3      </w:t>
            </w: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   4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5      </w:t>
            </w: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Направляющие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1.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Направляющие кабины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2.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Направляющие     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противовеса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3.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Болтовые соединения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 Шахта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4.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Кронштейны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5.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Горизонтальные пояса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6.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Стояки    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7.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Установка буферов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кабины    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8.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Установка буферов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противовеса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9. 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Несущие балки и рамы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отводных блоков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10.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Балки приставной шахты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11.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Порталы ДШ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12.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Болтовые и сварные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соединения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      Лебедка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13.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proofErr w:type="spellStart"/>
            <w:r w:rsidRPr="00B507DE">
              <w:t>Подлебедочная</w:t>
            </w:r>
            <w:proofErr w:type="spellEnd"/>
            <w:r w:rsidRPr="00B507DE">
              <w:t xml:space="preserve"> рама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>(</w:t>
            </w:r>
            <w:proofErr w:type="gramStart"/>
            <w:r w:rsidRPr="00B507DE">
              <w:t xml:space="preserve">балки)   </w:t>
            </w:r>
            <w:proofErr w:type="gramEnd"/>
            <w:r w:rsidRPr="00B507DE">
              <w:t xml:space="preserve">        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Другие                </w:t>
            </w:r>
          </w:p>
          <w:p w:rsidR="00133941" w:rsidRPr="00B507DE" w:rsidRDefault="00133941">
            <w:pPr>
              <w:pStyle w:val="ConsPlusNonformat"/>
              <w:jc w:val="both"/>
            </w:pPr>
            <w:r w:rsidRPr="00B507DE">
              <w:t xml:space="preserve">металлоконструкции    </w:t>
            </w: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15.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16.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  <w:tr w:rsidR="00B507DE" w:rsidRPr="00B507DE" w:rsidTr="00B507DE">
        <w:trPr>
          <w:trHeight w:val="230"/>
        </w:trPr>
        <w:tc>
          <w:tcPr>
            <w:tcW w:w="578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  <w:r w:rsidRPr="00B507DE">
              <w:t>17.</w:t>
            </w:r>
          </w:p>
        </w:tc>
        <w:tc>
          <w:tcPr>
            <w:tcW w:w="2776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2545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  <w:tc>
          <w:tcPr>
            <w:tcW w:w="1619" w:type="dxa"/>
            <w:tcBorders>
              <w:top w:val="nil"/>
            </w:tcBorders>
          </w:tcPr>
          <w:p w:rsidR="00133941" w:rsidRPr="00B507DE" w:rsidRDefault="00133941">
            <w:pPr>
              <w:pStyle w:val="ConsPlusNonformat"/>
              <w:jc w:val="both"/>
            </w:pPr>
          </w:p>
        </w:tc>
      </w:tr>
    </w:tbl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  <w:r w:rsidRPr="00B507DE">
        <w:t>--------------------------------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bookmarkStart w:id="2" w:name="P177"/>
      <w:bookmarkEnd w:id="2"/>
      <w:r w:rsidRPr="00B507DE">
        <w:t>&lt;*&gt; Методы контроля: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lastRenderedPageBreak/>
        <w:t>- ВИК - визуально-измерительный;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ММП - магнитной памяти;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МК - магнитный;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КК - капиллярный;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>- УЗД - ультразвуковой.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jc w:val="center"/>
      </w:pPr>
      <w:r w:rsidRPr="00B507DE">
        <w:t>6. Заключение: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  <w:r w:rsidRPr="00B507DE">
        <w:t xml:space="preserve">1. При обследовании металлоконструкций, указанных в </w:t>
      </w:r>
      <w:hyperlink w:anchor="P117" w:history="1">
        <w:r w:rsidRPr="00B507DE">
          <w:t>таблице</w:t>
        </w:r>
      </w:hyperlink>
      <w:r w:rsidRPr="00B507DE">
        <w:t>, недопустимых дефектов не выявлено (если выявлены недопустимые дефекты - указать; недопустимые дефекты устраняются до ввода лифта в эксплуатацию).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 xml:space="preserve">2. Дефекты, указанные в </w:t>
      </w:r>
      <w:proofErr w:type="spellStart"/>
      <w:r w:rsidRPr="00B507DE">
        <w:t>п.п</w:t>
      </w:r>
      <w:proofErr w:type="spellEnd"/>
      <w:r w:rsidRPr="00B507DE">
        <w:t xml:space="preserve">. ____ </w:t>
      </w:r>
      <w:hyperlink w:anchor="P117" w:history="1">
        <w:r w:rsidRPr="00B507DE">
          <w:t>таблицы 1</w:t>
        </w:r>
      </w:hyperlink>
      <w:r w:rsidRPr="00B507DE">
        <w:t>, рекомендуется устранить в срок ______________.</w:t>
      </w:r>
    </w:p>
    <w:p w:rsidR="00133941" w:rsidRPr="00B507DE" w:rsidRDefault="00133941">
      <w:pPr>
        <w:pStyle w:val="ConsPlusNormal"/>
        <w:spacing w:before="220"/>
        <w:ind w:firstLine="540"/>
        <w:jc w:val="both"/>
      </w:pPr>
      <w:r w:rsidRPr="00B507DE">
        <w:t xml:space="preserve">3. Следующее обследование металлоконструкций лифта, указанных в </w:t>
      </w:r>
      <w:hyperlink w:anchor="P117" w:history="1">
        <w:r w:rsidRPr="00B507DE">
          <w:t>таблице 1</w:t>
        </w:r>
      </w:hyperlink>
      <w:r w:rsidRPr="00B507DE">
        <w:t xml:space="preserve"> настоящего Акта, следует произвести в срок не позднее __________ 20__ года.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Специалист _____________ (________________)</w:t>
      </w:r>
    </w:p>
    <w:p w:rsidR="00133941" w:rsidRPr="00B507DE" w:rsidRDefault="00133941">
      <w:pPr>
        <w:pStyle w:val="ConsPlusNonformat"/>
        <w:jc w:val="both"/>
      </w:pPr>
      <w:r w:rsidRPr="00B507DE">
        <w:t xml:space="preserve">                                             (</w:t>
      </w:r>
      <w:proofErr w:type="gramStart"/>
      <w:r w:rsidRPr="00B507DE">
        <w:t xml:space="preserve">подпись)   </w:t>
      </w:r>
      <w:proofErr w:type="gramEnd"/>
      <w:r w:rsidRPr="00B507DE">
        <w:t xml:space="preserve">     (Ф.И.О.)</w:t>
      </w:r>
    </w:p>
    <w:p w:rsidR="00133941" w:rsidRPr="00B507DE" w:rsidRDefault="00133941">
      <w:pPr>
        <w:pStyle w:val="ConsPlusNormal"/>
        <w:ind w:firstLine="540"/>
        <w:jc w:val="both"/>
      </w:pPr>
    </w:p>
    <w:p w:rsidR="00133941" w:rsidRPr="00B507DE" w:rsidRDefault="00133941">
      <w:pPr>
        <w:pStyle w:val="ConsPlusNormal"/>
        <w:ind w:firstLine="540"/>
        <w:jc w:val="both"/>
      </w:pPr>
    </w:p>
    <w:bookmarkEnd w:id="0"/>
    <w:p w:rsidR="0052462D" w:rsidRPr="00B507DE" w:rsidRDefault="00B507DE"/>
    <w:sectPr w:rsidR="0052462D" w:rsidRPr="00B507DE" w:rsidSect="00E9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1"/>
    <w:rsid w:val="000579BA"/>
    <w:rsid w:val="000D2124"/>
    <w:rsid w:val="00133941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507DE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2D28A-6734-4D49-B9CF-AF63F32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9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39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897658FF05FBE209564BCDDACD33B86516BEAAA187EB5249BC03D812634CC36A6F669DABD2B68673C76BB15DA8580CC5498759EEF333X8f4U" TargetMode="External"/><Relationship Id="rId4" Type="http://schemas.openxmlformats.org/officeDocument/2006/relationships/hyperlink" Target="consultantplus://offline/ref=73897658FF05FBE2095654D8DFCD33B86317B8ACA487EB5249BC03D812634CD16A376A9DA2CCB78366913AF4X0f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2019-04-11T07:22:00Z</dcterms:created>
  <dcterms:modified xsi:type="dcterms:W3CDTF">2019-04-11T07:22:00Z</dcterms:modified>
</cp:coreProperties>
</file>