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77F" w:rsidRPr="008707B3" w:rsidRDefault="004D577F">
      <w:pPr>
        <w:pStyle w:val="ConsPlusNonformat"/>
        <w:spacing w:before="260"/>
        <w:jc w:val="both"/>
      </w:pPr>
      <w:bookmarkStart w:id="0" w:name="_GoBack"/>
      <w:r w:rsidRPr="008707B3">
        <w:t>Составлена в ___ экз.                                             Утверждаю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                                        _______________________________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                                                   (Ф.И.О.)</w:t>
      </w:r>
    </w:p>
    <w:p w:rsidR="004D577F" w:rsidRPr="008707B3" w:rsidRDefault="004D577F">
      <w:pPr>
        <w:pStyle w:val="ConsPlusNonformat"/>
        <w:jc w:val="both"/>
      </w:pPr>
      <w:r w:rsidRPr="008707B3">
        <w:t>_________________________________           _______________________________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(наименование </w:t>
      </w:r>
      <w:proofErr w:type="gramStart"/>
      <w:r w:rsidRPr="008707B3">
        <w:t xml:space="preserve">работодателя,   </w:t>
      </w:r>
      <w:proofErr w:type="gramEnd"/>
      <w:r w:rsidRPr="008707B3">
        <w:t xml:space="preserve">             (руководитель или иное лицо,</w:t>
      </w:r>
    </w:p>
    <w:p w:rsidR="004D577F" w:rsidRPr="008707B3" w:rsidRDefault="004D577F">
      <w:pPr>
        <w:pStyle w:val="ConsPlusNonformat"/>
        <w:jc w:val="both"/>
      </w:pPr>
      <w:r w:rsidRPr="008707B3">
        <w:t>_________________________________           _______________________________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его организационно-правовая                 уполномоченное утверждать</w:t>
      </w:r>
    </w:p>
    <w:p w:rsidR="004D577F" w:rsidRPr="008707B3" w:rsidRDefault="004D577F">
      <w:pPr>
        <w:pStyle w:val="ConsPlusNonformat"/>
        <w:jc w:val="both"/>
      </w:pPr>
      <w:r w:rsidRPr="008707B3">
        <w:t>_________________________________           _______________________________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форма, адрес, телефон, адрес                 должностную инструкцию)</w:t>
      </w:r>
    </w:p>
    <w:p w:rsidR="004D577F" w:rsidRPr="008707B3" w:rsidRDefault="004D577F">
      <w:pPr>
        <w:pStyle w:val="ConsPlusNonformat"/>
        <w:jc w:val="both"/>
      </w:pPr>
      <w:r w:rsidRPr="008707B3">
        <w:t>_________________________________</w:t>
      </w:r>
    </w:p>
    <w:p w:rsidR="004D577F" w:rsidRPr="008707B3" w:rsidRDefault="004D577F">
      <w:pPr>
        <w:pStyle w:val="ConsPlusNonformat"/>
        <w:jc w:val="both"/>
      </w:pPr>
      <w:r w:rsidRPr="008707B3">
        <w:t>электронной почты, ОГРН, ИНН/</w:t>
      </w:r>
      <w:proofErr w:type="gramStart"/>
      <w:r w:rsidRPr="008707B3">
        <w:t xml:space="preserve">КПП)   </w:t>
      </w:r>
      <w:proofErr w:type="gramEnd"/>
      <w:r w:rsidRPr="008707B3">
        <w:t xml:space="preserve">          "____"_____________ _____ г.</w:t>
      </w:r>
    </w:p>
    <w:p w:rsidR="004D577F" w:rsidRPr="008707B3" w:rsidRDefault="004D577F">
      <w:pPr>
        <w:pStyle w:val="ConsPlusNonformat"/>
        <w:jc w:val="both"/>
      </w:pPr>
      <w:r w:rsidRPr="008707B3">
        <w:t xml:space="preserve">"___"_________ ____ г. N _______                       </w:t>
      </w:r>
      <w:proofErr w:type="gramStart"/>
      <w:r w:rsidRPr="008707B3">
        <w:t xml:space="preserve">   (</w:t>
      </w:r>
      <w:proofErr w:type="gramEnd"/>
      <w:r w:rsidRPr="008707B3">
        <w:t xml:space="preserve">М.П. </w:t>
      </w:r>
      <w:hyperlink w:anchor="P131" w:history="1">
        <w:r w:rsidRPr="008707B3">
          <w:t>&lt;1&gt;</w:t>
        </w:r>
      </w:hyperlink>
      <w:r w:rsidRPr="008707B3">
        <w:t>)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8707B3">
      <w:pPr>
        <w:pStyle w:val="ConsPlusNormal"/>
        <w:jc w:val="center"/>
      </w:pPr>
      <w:hyperlink r:id="rId4" w:history="1">
        <w:r w:rsidR="004D577F" w:rsidRPr="008707B3">
          <w:t>Должностная инструкция</w:t>
        </w:r>
      </w:hyperlink>
    </w:p>
    <w:p w:rsidR="004D577F" w:rsidRPr="008707B3" w:rsidRDefault="004D577F">
      <w:pPr>
        <w:pStyle w:val="ConsPlusNormal"/>
        <w:jc w:val="center"/>
      </w:pPr>
      <w:r w:rsidRPr="008707B3">
        <w:t>специалиста по промышленной безопасности</w:t>
      </w:r>
    </w:p>
    <w:p w:rsidR="004D577F" w:rsidRPr="008707B3" w:rsidRDefault="004D577F">
      <w:pPr>
        <w:pStyle w:val="ConsPlusNormal"/>
        <w:jc w:val="center"/>
      </w:pPr>
      <w:r w:rsidRPr="008707B3">
        <w:t>подъемных сооружений</w:t>
      </w:r>
    </w:p>
    <w:p w:rsidR="004D577F" w:rsidRPr="008707B3" w:rsidRDefault="004D577F">
      <w:pPr>
        <w:pStyle w:val="ConsPlusNormal"/>
        <w:jc w:val="center"/>
      </w:pPr>
      <w:r w:rsidRPr="008707B3">
        <w:t>_______________________________________</w:t>
      </w:r>
    </w:p>
    <w:p w:rsidR="004D577F" w:rsidRPr="008707B3" w:rsidRDefault="004D577F">
      <w:pPr>
        <w:pStyle w:val="ConsPlusNormal"/>
        <w:jc w:val="center"/>
      </w:pPr>
      <w:r w:rsidRPr="008707B3">
        <w:t>(наименование организации)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jc w:val="center"/>
        <w:outlineLvl w:val="0"/>
      </w:pPr>
      <w:r w:rsidRPr="008707B3">
        <w:t>1. Общие положения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ind w:firstLine="540"/>
        <w:jc w:val="both"/>
      </w:pPr>
      <w:r w:rsidRPr="008707B3">
        <w:t>1.1. Настоящая должностная инструкция определяет должностные обязанности, права и ответственность специалиста по промышленной безопасности подъемных сооружений (далее - Работник) "_____________" (наименование организации) (далее - Организация).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1.2. Работник назначается на должность и освобождается от должности в установленном действующим трудовым законодательством Российской Федерации порядке приказом Руководителя Организации.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1.3. Работник подчиняется непосредственно ______________ Организации.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1.4. На должность Работника назначается лицо, имеющее __________ профессиональное образование и стаж работы по специальности ____ лет (без предъявления требований к стажу работы).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1.5. Работник должен знать: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законы, постановления, распоряжения, приказы и иные нормативные правовые акты, методическую и техническую документацию по обеспечению промышленной безопасности;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нормы и правила промышленной безопасности подъемных сооружений;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нормативно-техническую документацию, регламентирующую порядок проведения работ по экспертизе промышленной безопасности подъемных сооружений;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требования по обеспечению работоспособности и надлежащего технического состояния, а также продлению срока безопасной эксплуатации подъемных сооружений, подлежащих экспертизе;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методы и технологию обследования подъемных сооружений и их элементов;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устройство, конструктивные особенности, принципы действия и правила безопасной эксплуатации подъемных сооружений, организацию и порядок проведения их технической диагностики;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правила ведения технической и эксплуатационной документации;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lastRenderedPageBreak/>
        <w:t>- порядок проведения испытаний, связанных с принятием технических решений;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правила применения технических средств, используемых при проведении экспертизы промышленной безопасности подъемных сооружений;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методы расчета остаточного ресурса подъемных сооружений, отработавших нормативный срок службы;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порядок разработки технических рекомендаций по продлению срока безопасной эксплуатации подъемных сооружений и их элементов;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порядок проведения обследований опасных производственных объектов;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основы организации труда, производства и управления;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основы трудового законодательства Российской Федерации;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правила по охране труда.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1.6. В период временного отсутствия Работника его обязанности возлагаются на ____________.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jc w:val="center"/>
        <w:outlineLvl w:val="0"/>
      </w:pPr>
      <w:r w:rsidRPr="008707B3">
        <w:t>2. Должностные обязанности Работника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ind w:firstLine="540"/>
        <w:jc w:val="both"/>
      </w:pPr>
      <w:r w:rsidRPr="008707B3">
        <w:t>2.1. Работник осуществляет: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2.1.1. Выполнение работы, связанной с проведением экспертизы промышленной безопасности подъемных сооружений (лифтов, эскалаторов, платформ подъемных для инвалидов и других технических устройств).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2.1.2. Техническое обследование зданий и сооружений на опасных производственных объектах, в которых установлены подъемные сооружения.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2.1.3. Участие в проведении экспертизы эксплуатационных документов, проектной документации на строительство, расширение, реконструкцию, техническое перевооружение, консервацию и ликвидацию опасных производственных объектов.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2.1.4. Представление на утверждение результатов экспертизы промышленной безопасности подъемных сооружений, предлагаемых технических решений и рекомендаций по обеспечению их безопасной эксплуатации.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2.1.5. Выполнение необходимых инженерных расчетов, связанных с определением остаточного ресурса подъемных сооружений, отработавших нормативный срок эксплуатации, составление проектов экспертных заключений о соответствии объекта экспертизы установленным требованиям.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2.1.6. Участие в работе комиссий по расследованию причин аварий и несчастных случаев на подъемных сооружениях, разработке мер по предупреждению аварий и несчастных случаев.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jc w:val="center"/>
        <w:outlineLvl w:val="0"/>
      </w:pPr>
      <w:r w:rsidRPr="008707B3">
        <w:t>3. Права Работника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ind w:firstLine="540"/>
        <w:jc w:val="both"/>
      </w:pPr>
      <w:r w:rsidRPr="008707B3">
        <w:t>3.1. Работник имеет право: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3.1.1. Запрашивать и получать необходимые материалы и документы, относящиеся к вопросам деятельности Работника.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 xml:space="preserve">3.1.2. Вступать во взаимоотношения с подразделениями сторонних учреждений и </w:t>
      </w:r>
      <w:r w:rsidRPr="008707B3">
        <w:lastRenderedPageBreak/>
        <w:t>организаций для решения оперативных вопросов производственной деятельности, входящей в компетенцию Работника.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3.1.3. На представление интересов Организации в сторонних организациях по вопросам, связанным с его профессиональной деятельностью.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3.1.4. На предоставление ему работы, обусловленной трудовым договором.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3.1.5. На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3.1.6. На полную достоверную информацию об условиях труда и требованиях охраны труда на рабочем месте.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 xml:space="preserve">3.1.7. На профессиональную подготовку, переподготовку и повышение своей квалификации в порядке, установленном Трудовым </w:t>
      </w:r>
      <w:hyperlink r:id="rId5" w:history="1">
        <w:r w:rsidRPr="008707B3">
          <w:t>кодексом</w:t>
        </w:r>
      </w:hyperlink>
      <w:r w:rsidRPr="008707B3">
        <w:t xml:space="preserve"> Российской Федерации, иными федеральными законами.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3.1.8. На получение материалов и документов, относящихся к своей деятельности.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3.1.9. На взаимодействие с другими подразделениями Организации для решения оперативных вопросов своей профессиональной деятельности.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3.1.10. Вносить предложения Руководителю Организации по вопросам улучшения организации и условий труда в пределах своей компетенции.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3.1.11. Получать служебную информацию, необходимую для выполнения своих обязанностей.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3.1.12. Знакомиться с проектами решений Руководителя Организации, касающихся его деятельности.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3.1.13. Участвовать в обсуждении вопросов, касающихся исполняемых им должностных обязанностей.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3.1.14. Повышать свою квалификацию.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3.1.15. Проходить в установленном порядке аттестацию с правом получения соответствующего квалификационного разряда.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3.1.16.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3.1.17. На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3.1.18. На объединение, включая право на создание профессиональных союзов и вступление в них для защиты своих трудовых прав, свобод и законных интересов.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 xml:space="preserve">3.1.19. На участие в управлении Организацией в предусмотренных Трудовым </w:t>
      </w:r>
      <w:hyperlink r:id="rId6" w:history="1">
        <w:r w:rsidRPr="008707B3">
          <w:t>кодексом</w:t>
        </w:r>
      </w:hyperlink>
      <w:r w:rsidRPr="008707B3">
        <w:t xml:space="preserve"> Российской Федерации, иными федеральными законами и коллективным договором формах.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3.1.20. На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lastRenderedPageBreak/>
        <w:t>3.1.21. На защиту своих трудовых прав, свобод и законных интересов всеми не запрещенными законом способами.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 xml:space="preserve">3.1.22. На разрешение индивидуальных и коллективных трудовых споров, включая право на забастовку, в порядке, установленном Трудовым </w:t>
      </w:r>
      <w:hyperlink r:id="rId7" w:history="1">
        <w:r w:rsidRPr="008707B3">
          <w:t>кодексом</w:t>
        </w:r>
      </w:hyperlink>
      <w:r w:rsidRPr="008707B3">
        <w:t xml:space="preserve"> Российской Федерации, иными федеральными законами.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 xml:space="preserve">3.1.23. На возмещение вреда, причиненного ему в связи с исполнением трудовых обязанностей, и компенсацию морального вреда в порядке, установленном Трудовым </w:t>
      </w:r>
      <w:hyperlink r:id="rId8" w:history="1">
        <w:r w:rsidRPr="008707B3">
          <w:t>кодексом</w:t>
        </w:r>
      </w:hyperlink>
      <w:r w:rsidRPr="008707B3">
        <w:t xml:space="preserve"> Российской Федерации, иными федеральными законами.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3.1.24. На обязательное социальное страхование в случаях, предусмотренных федеральными законами.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jc w:val="center"/>
        <w:outlineLvl w:val="0"/>
      </w:pPr>
      <w:r w:rsidRPr="008707B3">
        <w:t>4. Ответственность Работника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ind w:firstLine="540"/>
        <w:jc w:val="both"/>
      </w:pPr>
      <w:r w:rsidRPr="008707B3">
        <w:t>4.1. Работник несет ответственность: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4.1.1. За необеспечение выполнения своих должностных обязанностей.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4.1.2. Недостоверную информацию о состоянии выполнения работы.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4.1.3. Невыполнение приказов, распоряжений и поручений Руководителя Организации.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4.1.4. Непринятие мер по пресечению выявленных нарушений правил техники безопасности, противопожарных и других правил, создающих угрозу деятельности Организации и ее работникам.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4.1.5. Необеспечение соблюдения трудовой дисциплины.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jc w:val="center"/>
        <w:outlineLvl w:val="0"/>
      </w:pPr>
      <w:r w:rsidRPr="008707B3">
        <w:t>5. Условия работы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ind w:firstLine="540"/>
        <w:jc w:val="both"/>
      </w:pPr>
      <w:r w:rsidRPr="008707B3">
        <w:t>5.1. Режим работы Работника определяется в соответствии с Правилами внутреннего трудового распорядка, установленными в Организации.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5.2. В связи с производственной необходимостью Работник обязан выезжать в служебные командировки (в том числе местного значения).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5.3. В соответствии с ____________________ работодатель проводит оценку эффективности деятельности Работника. Комплекс мероприятий по оценке эффективности утвержден ____________ и включает в себя: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______________________;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______________________;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- ______________________.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jc w:val="center"/>
        <w:outlineLvl w:val="0"/>
      </w:pPr>
      <w:r w:rsidRPr="008707B3">
        <w:t>6. Заключительные положения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ind w:firstLine="540"/>
        <w:jc w:val="both"/>
      </w:pPr>
      <w:r w:rsidRPr="008707B3">
        <w:t xml:space="preserve">6.1. Настоящая должностная инструкция разработана на основе квалификационной </w:t>
      </w:r>
      <w:hyperlink r:id="rId9" w:history="1">
        <w:r w:rsidRPr="008707B3">
          <w:t>характеристики</w:t>
        </w:r>
      </w:hyperlink>
      <w:r w:rsidRPr="008707B3">
        <w:t xml:space="preserve"> должности "Специалист по промышленной безопасности подъемных сооружений" (Квалификационный справочник должностей руководителей, специалистов и других служащих, утвержденный </w:t>
      </w:r>
      <w:hyperlink r:id="rId10" w:history="1">
        <w:r w:rsidRPr="008707B3">
          <w:t>Постановлением</w:t>
        </w:r>
      </w:hyperlink>
      <w:r w:rsidRPr="008707B3">
        <w:t xml:space="preserve"> Минтруда России от 21.08.1998 N 37), ______________________________________ (реквизиты иных актов и документов).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lastRenderedPageBreak/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Факт ознакомления Работника с настоящей должностной инструкцией подтверждается __________________________________________________ (подписью в листе ознакомления, являющемся неотъемлемой частью настоящей должностной инструкции (в журнале ознакомления с должностными инструкциями); в экземпляре должностной инструкции, хранящемся у работодателя; иным способом).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6.3. __________________________________________________________.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nformat"/>
        <w:jc w:val="both"/>
      </w:pPr>
      <w:r w:rsidRPr="008707B3">
        <w:t xml:space="preserve">    Руководитель структурного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подразделения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____________________________                      _____________________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          (Ф.И.О.)                                      (подпись)</w:t>
      </w:r>
    </w:p>
    <w:p w:rsidR="004D577F" w:rsidRPr="008707B3" w:rsidRDefault="004D577F">
      <w:pPr>
        <w:pStyle w:val="ConsPlusNonformat"/>
        <w:jc w:val="both"/>
      </w:pPr>
    </w:p>
    <w:p w:rsidR="004D577F" w:rsidRPr="008707B3" w:rsidRDefault="004D577F">
      <w:pPr>
        <w:pStyle w:val="ConsPlusNonformat"/>
        <w:jc w:val="both"/>
      </w:pPr>
      <w:r w:rsidRPr="008707B3">
        <w:t xml:space="preserve">    "__"_____________ ___ г.</w:t>
      </w:r>
    </w:p>
    <w:p w:rsidR="004D577F" w:rsidRPr="008707B3" w:rsidRDefault="004D577F">
      <w:pPr>
        <w:pStyle w:val="ConsPlusNonformat"/>
        <w:jc w:val="both"/>
      </w:pPr>
    </w:p>
    <w:p w:rsidR="004D577F" w:rsidRPr="008707B3" w:rsidRDefault="004D577F">
      <w:pPr>
        <w:pStyle w:val="ConsPlusNonformat"/>
        <w:jc w:val="both"/>
      </w:pPr>
      <w:r w:rsidRPr="008707B3">
        <w:t xml:space="preserve">    Согласовано: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Юридическая служба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____________________________                      _____________________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          (Ф.И.О.)                                      (подпись)</w:t>
      </w:r>
    </w:p>
    <w:p w:rsidR="004D577F" w:rsidRPr="008707B3" w:rsidRDefault="004D577F">
      <w:pPr>
        <w:pStyle w:val="ConsPlusNonformat"/>
        <w:jc w:val="both"/>
      </w:pPr>
    </w:p>
    <w:p w:rsidR="004D577F" w:rsidRPr="008707B3" w:rsidRDefault="004D577F">
      <w:pPr>
        <w:pStyle w:val="ConsPlusNonformat"/>
        <w:jc w:val="both"/>
      </w:pPr>
      <w:r w:rsidRPr="008707B3">
        <w:t xml:space="preserve">    "__"_____________ ___ г.</w:t>
      </w:r>
    </w:p>
    <w:p w:rsidR="004D577F" w:rsidRPr="008707B3" w:rsidRDefault="004D577F">
      <w:pPr>
        <w:pStyle w:val="ConsPlusNonformat"/>
        <w:jc w:val="both"/>
      </w:pPr>
    </w:p>
    <w:p w:rsidR="004D577F" w:rsidRPr="008707B3" w:rsidRDefault="004D577F">
      <w:pPr>
        <w:pStyle w:val="ConsPlusNonformat"/>
        <w:jc w:val="both"/>
      </w:pPr>
      <w:r w:rsidRPr="008707B3">
        <w:t xml:space="preserve">    С должностной инструкцией ознакомлен: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(или: Должностную инструкцию получил)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____________________________                      _____________________</w:t>
      </w:r>
    </w:p>
    <w:p w:rsidR="004D577F" w:rsidRPr="008707B3" w:rsidRDefault="004D577F">
      <w:pPr>
        <w:pStyle w:val="ConsPlusNonformat"/>
        <w:jc w:val="both"/>
      </w:pPr>
      <w:r w:rsidRPr="008707B3">
        <w:t xml:space="preserve">              (Ф.И.О.)                                      (подпись)</w:t>
      </w:r>
    </w:p>
    <w:p w:rsidR="004D577F" w:rsidRPr="008707B3" w:rsidRDefault="004D577F">
      <w:pPr>
        <w:pStyle w:val="ConsPlusNonformat"/>
        <w:jc w:val="both"/>
      </w:pPr>
    </w:p>
    <w:p w:rsidR="004D577F" w:rsidRPr="008707B3" w:rsidRDefault="004D577F">
      <w:pPr>
        <w:pStyle w:val="ConsPlusNonformat"/>
        <w:jc w:val="both"/>
      </w:pPr>
      <w:r w:rsidRPr="008707B3">
        <w:t xml:space="preserve">    "__"_____________ ___ г.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ind w:firstLine="540"/>
        <w:jc w:val="both"/>
      </w:pPr>
      <w:r w:rsidRPr="008707B3">
        <w:t>--------------------------------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>Информация для сведения: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bookmarkStart w:id="1" w:name="P131"/>
      <w:bookmarkEnd w:id="1"/>
      <w:r w:rsidRPr="008707B3">
        <w:t xml:space="preserve">&lt;1&gt; Согласно Федеральному </w:t>
      </w:r>
      <w:hyperlink r:id="rId11" w:history="1">
        <w:r w:rsidRPr="008707B3">
          <w:t>закону</w:t>
        </w:r>
      </w:hyperlink>
      <w:r w:rsidRPr="008707B3">
        <w:t xml:space="preserve">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наличие печати не является обязательным для хозяйственных обществ, но может быть закреплено в их уставе. Требование о проставлении печати может быть предусмотрено действующим законодательством, локальными актами организации или договором (подробнее см. </w:t>
      </w:r>
      <w:hyperlink r:id="rId12" w:history="1">
        <w:r w:rsidRPr="008707B3">
          <w:t>п. 7 ст. 2</w:t>
        </w:r>
      </w:hyperlink>
      <w:r w:rsidRPr="008707B3">
        <w:t xml:space="preserve"> Федерального закона от 26.12.1995 N 208-ФЗ "Об акционерных обществах" и </w:t>
      </w:r>
      <w:hyperlink r:id="rId13" w:history="1">
        <w:r w:rsidRPr="008707B3">
          <w:t>п. 5 ст. 2</w:t>
        </w:r>
      </w:hyperlink>
      <w:r w:rsidRPr="008707B3">
        <w:t xml:space="preserve"> Федерального закона от 08.02.1998 N 14-ФЗ "Об обществах с ограниченной ответственностью", </w:t>
      </w:r>
      <w:hyperlink r:id="rId14" w:history="1">
        <w:proofErr w:type="spellStart"/>
        <w:r w:rsidRPr="008707B3">
          <w:t>абз</w:t>
        </w:r>
        <w:proofErr w:type="spellEnd"/>
        <w:r w:rsidRPr="008707B3">
          <w:t>. 3 п. 1 ст. 160</w:t>
        </w:r>
      </w:hyperlink>
      <w:r w:rsidRPr="008707B3">
        <w:t xml:space="preserve"> Гражданского кодекса Российской Федерации, Письма Минфина России от 12.12.2016 </w:t>
      </w:r>
      <w:hyperlink r:id="rId15" w:history="1">
        <w:r w:rsidRPr="008707B3">
          <w:t>N 07-01-09/74291</w:t>
        </w:r>
      </w:hyperlink>
      <w:r w:rsidRPr="008707B3">
        <w:t xml:space="preserve"> и от 06.08.2015 </w:t>
      </w:r>
      <w:hyperlink r:id="rId16" w:history="1">
        <w:r w:rsidRPr="008707B3">
          <w:t>N 03-01-10/45390</w:t>
        </w:r>
      </w:hyperlink>
      <w:r w:rsidRPr="008707B3">
        <w:t xml:space="preserve">, </w:t>
      </w:r>
      <w:hyperlink r:id="rId17" w:history="1">
        <w:r w:rsidRPr="008707B3">
          <w:t>Письмо</w:t>
        </w:r>
      </w:hyperlink>
      <w:r w:rsidRPr="008707B3">
        <w:t xml:space="preserve"> ФНС России от 13.01.2016 N СД-4-3/105@).</w:t>
      </w:r>
    </w:p>
    <w:p w:rsidR="004D577F" w:rsidRPr="008707B3" w:rsidRDefault="004D577F">
      <w:pPr>
        <w:pStyle w:val="ConsPlusNormal"/>
        <w:spacing w:before="220"/>
        <w:ind w:firstLine="540"/>
        <w:jc w:val="both"/>
      </w:pPr>
      <w:r w:rsidRPr="008707B3">
        <w:t xml:space="preserve">Для отдельных организаций наличие печати остается обязательным - см., например, </w:t>
      </w:r>
      <w:hyperlink r:id="rId18" w:history="1">
        <w:r w:rsidRPr="008707B3">
          <w:t>п. 8 ст. 3</w:t>
        </w:r>
      </w:hyperlink>
      <w:r w:rsidRPr="008707B3">
        <w:t xml:space="preserve"> Федерального закона от 30.12.2004 N 215-ФЗ от 30.12.2004 N 215-ФЗ "О жилищных накопительных кооперативах", </w:t>
      </w:r>
      <w:hyperlink r:id="rId19" w:history="1">
        <w:r w:rsidRPr="008707B3">
          <w:t>п. 4 ст. 3</w:t>
        </w:r>
      </w:hyperlink>
      <w:r w:rsidRPr="008707B3">
        <w:t xml:space="preserve"> Федерального закона от 12.01.1996 N 7-ФЗ от 12.01.1996 N 7-ФЗ "О некоммерческих организациях", </w:t>
      </w:r>
      <w:hyperlink r:id="rId20" w:history="1">
        <w:r w:rsidRPr="008707B3">
          <w:t>п. 3 ст. 2</w:t>
        </w:r>
      </w:hyperlink>
      <w:r w:rsidRPr="008707B3">
        <w:t xml:space="preserve"> Федерального закона от 14.11.2002 N 161-ФЗ "О государственных и муниципальных унитарных предприятиях".</w:t>
      </w:r>
    </w:p>
    <w:p w:rsidR="004D577F" w:rsidRPr="008707B3" w:rsidRDefault="004D577F">
      <w:pPr>
        <w:pStyle w:val="ConsPlusNormal"/>
        <w:ind w:firstLine="540"/>
        <w:jc w:val="both"/>
      </w:pPr>
    </w:p>
    <w:p w:rsidR="004D577F" w:rsidRPr="008707B3" w:rsidRDefault="004D577F">
      <w:pPr>
        <w:pStyle w:val="ConsPlusNormal"/>
        <w:ind w:firstLine="540"/>
        <w:jc w:val="both"/>
      </w:pPr>
    </w:p>
    <w:bookmarkEnd w:id="0"/>
    <w:p w:rsidR="0052462D" w:rsidRPr="008707B3" w:rsidRDefault="008707B3"/>
    <w:sectPr w:rsidR="0052462D" w:rsidRPr="008707B3" w:rsidSect="009C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77F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4D577F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707B3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09FCC-F633-4509-AE56-DE8F188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D57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57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17849AF654B778211DF32E2C4F33D605FB9331D97012987C0D05FD5872BEF5AF476E8D31DABD09FBA1B5B092G7O2T" TargetMode="External"/><Relationship Id="rId13" Type="http://schemas.openxmlformats.org/officeDocument/2006/relationships/hyperlink" Target="consultantplus://offline/ref=AB17849AF654B778211DF32E2C4F33D604F09431DD7012987C0D05FD5872BEF5BD47368131D3A608FDB4E3E1D72E65148DB65510469086EEGAO4T" TargetMode="External"/><Relationship Id="rId18" Type="http://schemas.openxmlformats.org/officeDocument/2006/relationships/hyperlink" Target="consultantplus://offline/ref=AB17849AF654B778211DF32E2C4F33D605F99132DE7112987C0D05FD5872BEF5BD47368131D3A30AFAB4E3E1D72E65148DB65510469086EEGAO4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B17849AF654B778211DF32E2C4F33D605FB9331D97012987C0D05FD5872BEF5AF476E8D31DABD09FBA1B5B092G7O2T" TargetMode="External"/><Relationship Id="rId12" Type="http://schemas.openxmlformats.org/officeDocument/2006/relationships/hyperlink" Target="consultantplus://offline/ref=AB17849AF654B778211DF32E2C4F33D605F8963DD97412987C0D05FD5872BEF5BD47368131D2A108F7B4E3E1D72E65148DB65510469086EEGAO4T" TargetMode="External"/><Relationship Id="rId17" Type="http://schemas.openxmlformats.org/officeDocument/2006/relationships/hyperlink" Target="consultantplus://offline/ref=AB17849AF654B778211DEE3C3A446DDA0DA79F35DE741CCD23525EA00F7BB4A2FA086FD17586AE09F6A1B7B48D796815G8ODT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17849AF654B778211DEE3C3A446DDA0DA79F35DF7F19C722525EA00F7BB4A2FA086FD17586AE09F6A1B7B48D796815G8ODT" TargetMode="External"/><Relationship Id="rId20" Type="http://schemas.openxmlformats.org/officeDocument/2006/relationships/hyperlink" Target="consultantplus://offline/ref=AB17849AF654B778211DF32E2C4F33D605F99636DA7012987C0D05FD5872BEF5BD47368131D3A30BFDB4E3E1D72E65148DB65510469086EEGAO4T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7849AF654B778211DF32E2C4F33D605FB9331D97012987C0D05FD5872BEF5AF476E8D31DABD09FBA1B5B092G7O2T" TargetMode="External"/><Relationship Id="rId11" Type="http://schemas.openxmlformats.org/officeDocument/2006/relationships/hyperlink" Target="consultantplus://offline/ref=AB17849AF654B778211DF32E2C4F33D605F99333DC7012987C0D05FD5872BEF5AF476E8D31DABD09FBA1B5B092G7O2T" TargetMode="External"/><Relationship Id="rId5" Type="http://schemas.openxmlformats.org/officeDocument/2006/relationships/hyperlink" Target="consultantplus://offline/ref=AB17849AF654B778211DF32E2C4F33D605FB9331D97012987C0D05FD5872BEF5AF476E8D31DABD09FBA1B5B092G7O2T" TargetMode="External"/><Relationship Id="rId15" Type="http://schemas.openxmlformats.org/officeDocument/2006/relationships/hyperlink" Target="consultantplus://offline/ref=AB17849AF654B778211DEE3C3A446DDA0DA79F35DD751FCB28525EA00F7BB4A2FA086FD17586AE09F6A1B7B48D796815G8ODT" TargetMode="External"/><Relationship Id="rId10" Type="http://schemas.openxmlformats.org/officeDocument/2006/relationships/hyperlink" Target="consultantplus://offline/ref=AB17849AF654B778211DF32E2C4F33D603F19231D87D4F92745409FF5F7DE1F0BA56368038CDA30DE1BDB7B1G9OAT" TargetMode="External"/><Relationship Id="rId19" Type="http://schemas.openxmlformats.org/officeDocument/2006/relationships/hyperlink" Target="consultantplus://offline/ref=AB17849AF654B778211DF32E2C4F33D605F9923CDF7312987C0D05FD5872BEF5BD47368131D3A30BFDB4E3E1D72E65148DB65510469086EEGAO4T" TargetMode="External"/><Relationship Id="rId4" Type="http://schemas.openxmlformats.org/officeDocument/2006/relationships/hyperlink" Target="consultantplus://offline/ref=AB17849AF654B778211DF32E2C4F33D604F09630DB7412987C0D05FD5872BEF5BD47368131D2A00EF7B4E3E1D72E65148DB65510469086EEGAO4T" TargetMode="External"/><Relationship Id="rId9" Type="http://schemas.openxmlformats.org/officeDocument/2006/relationships/hyperlink" Target="consultantplus://offline/ref=AB17849AF654B778211DF32E2C4F33D604F09630DB7412987C0D05FD5872BEF5BD47368131D2A00EF7B4E3E1D72E65148DB65510469086EEGAO4T" TargetMode="External"/><Relationship Id="rId14" Type="http://schemas.openxmlformats.org/officeDocument/2006/relationships/hyperlink" Target="consultantplus://offline/ref=AB17849AF654B778211DF32E2C4F33D605F9923CD97412987C0D05FD5872BEF5BD47368131D3AA08F7B4E3E1D72E65148DB65510469086EEGAO4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2019-04-15T07:07:00Z</dcterms:created>
  <dcterms:modified xsi:type="dcterms:W3CDTF">2019-04-15T07:07:00Z</dcterms:modified>
</cp:coreProperties>
</file>