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03" w:rsidRPr="00FE2C83" w:rsidRDefault="00825E03">
      <w:pPr>
        <w:pStyle w:val="ConsPlusNormal"/>
        <w:jc w:val="both"/>
        <w:outlineLvl w:val="0"/>
      </w:pPr>
      <w:bookmarkStart w:id="0" w:name="_GoBack"/>
      <w:bookmarkEnd w:id="0"/>
    </w:p>
    <w:p w:rsidR="00825E03" w:rsidRPr="00FE2C83" w:rsidRDefault="00825E03">
      <w:pPr>
        <w:pStyle w:val="ConsPlusNormal"/>
        <w:spacing w:before="280"/>
        <w:jc w:val="right"/>
      </w:pPr>
      <w:r w:rsidRPr="00FE2C83">
        <w:t>Приложение N 6</w:t>
      </w:r>
    </w:p>
    <w:p w:rsidR="00825E03" w:rsidRPr="00FE2C83" w:rsidRDefault="00825E03">
      <w:pPr>
        <w:pStyle w:val="ConsPlusNormal"/>
        <w:jc w:val="right"/>
      </w:pPr>
      <w:r w:rsidRPr="00FE2C83">
        <w:t xml:space="preserve">к </w:t>
      </w:r>
      <w:hyperlink r:id="rId4" w:history="1">
        <w:r w:rsidRPr="00FE2C83">
          <w:t>смете</w:t>
        </w:r>
      </w:hyperlink>
      <w:r w:rsidRPr="00FE2C83">
        <w:t xml:space="preserve"> расходов на организацию</w:t>
      </w:r>
    </w:p>
    <w:p w:rsidR="00825E03" w:rsidRPr="00FE2C83" w:rsidRDefault="00825E03">
      <w:pPr>
        <w:pStyle w:val="ConsPlusNormal"/>
        <w:jc w:val="right"/>
      </w:pPr>
      <w:r w:rsidRPr="00FE2C83">
        <w:t>и проведение экспертизы</w:t>
      </w:r>
    </w:p>
    <w:p w:rsidR="00825E03" w:rsidRPr="00FE2C83" w:rsidRDefault="00825E03">
      <w:pPr>
        <w:pStyle w:val="ConsPlusNormal"/>
        <w:jc w:val="right"/>
      </w:pPr>
      <w:r w:rsidRPr="00FE2C83">
        <w:t>промышленной безопасности</w:t>
      </w:r>
    </w:p>
    <w:p w:rsidR="00825E03" w:rsidRPr="00FE2C83" w:rsidRDefault="00825E03">
      <w:pPr>
        <w:pStyle w:val="ConsPlusNormal"/>
        <w:jc w:val="both"/>
      </w:pP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Транспортные услуги</w:t>
      </w:r>
    </w:p>
    <w:p w:rsidR="00825E03" w:rsidRPr="00FE2C83" w:rsidRDefault="00825E0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8"/>
        <w:gridCol w:w="1003"/>
        <w:gridCol w:w="2007"/>
        <w:gridCol w:w="752"/>
        <w:gridCol w:w="878"/>
        <w:gridCol w:w="2384"/>
      </w:tblGrid>
      <w:tr w:rsidR="00FE2C83" w:rsidRPr="00FE2C83" w:rsidTr="00FE2C83">
        <w:trPr>
          <w:trHeight w:val="43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 xml:space="preserve">Марка автомобиля (вид ГСМ </w:t>
            </w:r>
            <w:hyperlink w:anchor="P47" w:history="1">
              <w:r w:rsidRPr="00FE2C83">
                <w:t>&lt;*&gt;</w:t>
              </w:r>
            </w:hyperlink>
            <w:r w:rsidRPr="00FE2C83">
              <w:t xml:space="preserve">, затрат </w:t>
            </w:r>
            <w:hyperlink w:anchor="P47" w:history="1">
              <w:r w:rsidRPr="00FE2C83">
                <w:t>&lt;*&gt;</w:t>
              </w:r>
            </w:hyperlink>
            <w:r w:rsidRPr="00FE2C83">
              <w:t>)</w:t>
            </w: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Пробег (км)</w:t>
            </w: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Норма расхода ГСМ на 100 км (л)</w:t>
            </w: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К-во (л)</w:t>
            </w: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Цена (руб.)</w:t>
            </w: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Всего затрат (руб.)</w:t>
            </w:r>
          </w:p>
        </w:tc>
      </w:tr>
      <w:tr w:rsidR="00FE2C83" w:rsidRPr="00FE2C83" w:rsidTr="00FE2C83">
        <w:trPr>
          <w:trHeight w:val="21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1</w:t>
            </w: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2</w:t>
            </w: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3</w:t>
            </w: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4</w:t>
            </w: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5</w:t>
            </w: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center"/>
            </w:pPr>
            <w:r w:rsidRPr="00FE2C83">
              <w:t>6</w:t>
            </w:r>
          </w:p>
        </w:tc>
      </w:tr>
      <w:tr w:rsidR="00FE2C83" w:rsidRPr="00FE2C83" w:rsidTr="00FE2C83">
        <w:trPr>
          <w:trHeight w:val="21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</w:tr>
      <w:tr w:rsidR="00FE2C83" w:rsidRPr="00FE2C83" w:rsidTr="00FE2C83">
        <w:trPr>
          <w:trHeight w:val="21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</w:tr>
      <w:tr w:rsidR="00FE2C83" w:rsidRPr="00FE2C83" w:rsidTr="00FE2C83">
        <w:trPr>
          <w:trHeight w:val="21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</w:tr>
      <w:tr w:rsidR="00FE2C83" w:rsidRPr="00FE2C83" w:rsidTr="00FE2C83">
        <w:trPr>
          <w:trHeight w:val="219"/>
        </w:trPr>
        <w:tc>
          <w:tcPr>
            <w:tcW w:w="225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1003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007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752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878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  <w:tc>
          <w:tcPr>
            <w:tcW w:w="2384" w:type="dxa"/>
          </w:tcPr>
          <w:p w:rsidR="00825E03" w:rsidRPr="00FE2C83" w:rsidRDefault="00825E03">
            <w:pPr>
              <w:pStyle w:val="ConsPlusNormal"/>
              <w:jc w:val="both"/>
            </w:pPr>
          </w:p>
        </w:tc>
      </w:tr>
    </w:tbl>
    <w:p w:rsidR="00825E03" w:rsidRPr="00FE2C83" w:rsidRDefault="00825E03">
      <w:pPr>
        <w:pStyle w:val="ConsPlusNormal"/>
        <w:jc w:val="both"/>
      </w:pPr>
    </w:p>
    <w:p w:rsidR="00825E03" w:rsidRPr="00FE2C83" w:rsidRDefault="00825E03">
      <w:pPr>
        <w:pStyle w:val="ConsPlusNonformat"/>
        <w:jc w:val="both"/>
      </w:pPr>
      <w:r w:rsidRPr="00FE2C83">
        <w:t xml:space="preserve">    --------------------------------</w:t>
      </w:r>
    </w:p>
    <w:p w:rsidR="00825E03" w:rsidRPr="00FE2C83" w:rsidRDefault="00825E03">
      <w:pPr>
        <w:pStyle w:val="ConsPlusNonformat"/>
        <w:jc w:val="both"/>
      </w:pPr>
      <w:bookmarkStart w:id="1" w:name="P47"/>
      <w:bookmarkEnd w:id="1"/>
      <w:r w:rsidRPr="00FE2C83">
        <w:t xml:space="preserve">    &lt;*&gt; Автотранспорт, находящийся на балансе организации.</w:t>
      </w:r>
    </w:p>
    <w:p w:rsidR="00825E03" w:rsidRPr="00FE2C83" w:rsidRDefault="00825E03">
      <w:pPr>
        <w:pStyle w:val="ConsPlusNonformat"/>
        <w:jc w:val="both"/>
      </w:pPr>
    </w:p>
    <w:p w:rsidR="00825E03" w:rsidRPr="00FE2C83" w:rsidRDefault="00825E03">
      <w:pPr>
        <w:pStyle w:val="ConsPlusNonformat"/>
        <w:jc w:val="both"/>
      </w:pPr>
      <w:r w:rsidRPr="00FE2C83">
        <w:t>Руководитель                                _________________________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            (подпись)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     _________________________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М.П.          (Ф.И.О.)</w:t>
      </w:r>
    </w:p>
    <w:p w:rsidR="00825E03" w:rsidRPr="00FE2C83" w:rsidRDefault="00825E03">
      <w:pPr>
        <w:pStyle w:val="ConsPlusNonformat"/>
        <w:jc w:val="both"/>
      </w:pPr>
    </w:p>
    <w:p w:rsidR="00825E03" w:rsidRPr="00FE2C83" w:rsidRDefault="00825E03">
      <w:pPr>
        <w:pStyle w:val="ConsPlusNonformat"/>
        <w:jc w:val="both"/>
      </w:pPr>
      <w:r w:rsidRPr="00FE2C83">
        <w:t xml:space="preserve">Гл. бухгалтер (начальник </w:t>
      </w:r>
      <w:proofErr w:type="gramStart"/>
      <w:r w:rsidRPr="00FE2C83">
        <w:t xml:space="preserve">ПЭО)   </w:t>
      </w:r>
      <w:proofErr w:type="gramEnd"/>
      <w:r w:rsidRPr="00FE2C83">
        <w:t xml:space="preserve">            _________________________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             (подпись)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     _________________________</w:t>
      </w:r>
    </w:p>
    <w:p w:rsidR="00825E03" w:rsidRPr="00FE2C83" w:rsidRDefault="00825E03">
      <w:pPr>
        <w:pStyle w:val="ConsPlusNonformat"/>
        <w:jc w:val="both"/>
      </w:pPr>
      <w:r w:rsidRPr="00FE2C83">
        <w:t xml:space="preserve">                                                     (Ф.И.О.)</w:t>
      </w:r>
    </w:p>
    <w:p w:rsidR="00825E03" w:rsidRPr="00FE2C83" w:rsidRDefault="00825E03">
      <w:pPr>
        <w:pStyle w:val="ConsPlusNormal"/>
        <w:ind w:firstLine="540"/>
        <w:jc w:val="both"/>
      </w:pPr>
    </w:p>
    <w:p w:rsidR="00825E03" w:rsidRPr="00FE2C83" w:rsidRDefault="00825E03">
      <w:pPr>
        <w:pStyle w:val="ConsPlusNormal"/>
        <w:ind w:firstLine="540"/>
        <w:jc w:val="both"/>
      </w:pPr>
    </w:p>
    <w:p w:rsidR="0052462D" w:rsidRPr="00FE2C83" w:rsidRDefault="00FE2C83"/>
    <w:sectPr w:rsidR="0052462D" w:rsidRPr="00FE2C83" w:rsidSect="00FE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25E03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E2C83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399D-786C-47DF-8438-F9BBAAD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E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0E58DFBF92F1DF0BA696CF285BE417B8E9B2A3FC4B9479C58011F0321228860F105B8E6EEEBAFB31A4CE1EsF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2019-04-09T19:32:00Z</dcterms:created>
  <dcterms:modified xsi:type="dcterms:W3CDTF">2019-04-22T08:37:00Z</dcterms:modified>
</cp:coreProperties>
</file>