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38" w:rsidRPr="00FC4717" w:rsidRDefault="00AA1F38">
      <w:pPr>
        <w:pStyle w:val="ConsPlusNormal"/>
        <w:spacing w:before="280"/>
        <w:jc w:val="right"/>
      </w:pPr>
      <w:r w:rsidRPr="00FC4717">
        <w:t>Приложение N 3</w:t>
      </w:r>
    </w:p>
    <w:p w:rsidR="00AA1F38" w:rsidRPr="00FC4717" w:rsidRDefault="00AA1F38">
      <w:pPr>
        <w:pStyle w:val="ConsPlusNormal"/>
        <w:jc w:val="right"/>
      </w:pPr>
      <w:r w:rsidRPr="00FC4717">
        <w:t xml:space="preserve">к </w:t>
      </w:r>
      <w:hyperlink r:id="rId4" w:history="1">
        <w:r w:rsidRPr="00FC4717">
          <w:t>смете</w:t>
        </w:r>
      </w:hyperlink>
      <w:r w:rsidRPr="00FC4717">
        <w:t xml:space="preserve"> расходов на организацию</w:t>
      </w:r>
    </w:p>
    <w:p w:rsidR="00AA1F38" w:rsidRPr="00FC4717" w:rsidRDefault="00AA1F38">
      <w:pPr>
        <w:pStyle w:val="ConsPlusNormal"/>
        <w:jc w:val="right"/>
      </w:pPr>
      <w:r w:rsidRPr="00FC4717">
        <w:t>и проведение экспертизы</w:t>
      </w:r>
    </w:p>
    <w:p w:rsidR="00AA1F38" w:rsidRPr="00FC4717" w:rsidRDefault="00AA1F38">
      <w:pPr>
        <w:pStyle w:val="ConsPlusNormal"/>
        <w:jc w:val="right"/>
      </w:pPr>
      <w:r w:rsidRPr="00FC4717">
        <w:t>промышленной безопасности</w:t>
      </w:r>
    </w:p>
    <w:p w:rsidR="00AA1F38" w:rsidRPr="00FC4717" w:rsidRDefault="00AA1F38">
      <w:pPr>
        <w:pStyle w:val="ConsPlusNormal"/>
        <w:jc w:val="both"/>
      </w:pPr>
    </w:p>
    <w:p w:rsidR="00AA1F38" w:rsidRPr="00FC4717" w:rsidRDefault="00AA1F38">
      <w:pPr>
        <w:pStyle w:val="ConsPlusNonformat"/>
        <w:jc w:val="both"/>
      </w:pPr>
      <w:r w:rsidRPr="00FC4717">
        <w:t xml:space="preserve">                 Затраты на материальные и другие ресурсы</w:t>
      </w:r>
    </w:p>
    <w:p w:rsidR="00AA1F38" w:rsidRPr="00FC4717" w:rsidRDefault="00AA1F3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2746"/>
        <w:gridCol w:w="2158"/>
        <w:gridCol w:w="1373"/>
        <w:gridCol w:w="2356"/>
        <w:gridCol w:w="3139"/>
        <w:gridCol w:w="1765"/>
      </w:tblGrid>
      <w:tr w:rsidR="00FC4717" w:rsidRPr="00FC4717" w:rsidTr="00FC4717">
        <w:trPr>
          <w:trHeight w:val="338"/>
        </w:trPr>
        <w:tc>
          <w:tcPr>
            <w:tcW w:w="981" w:type="dxa"/>
            <w:vMerge w:val="restart"/>
          </w:tcPr>
          <w:p w:rsidR="00AA1F38" w:rsidRPr="00FC4717" w:rsidRDefault="00AA1F38">
            <w:pPr>
              <w:pStyle w:val="ConsPlusNormal"/>
              <w:jc w:val="center"/>
            </w:pPr>
            <w:bookmarkStart w:id="0" w:name="_GoBack"/>
            <w:bookmarkEnd w:id="0"/>
            <w:r w:rsidRPr="00FC4717">
              <w:t>N п/п</w:t>
            </w:r>
          </w:p>
        </w:tc>
        <w:tc>
          <w:tcPr>
            <w:tcW w:w="2746" w:type="dxa"/>
            <w:vMerge w:val="restart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Наименование</w:t>
            </w:r>
          </w:p>
        </w:tc>
        <w:tc>
          <w:tcPr>
            <w:tcW w:w="2158" w:type="dxa"/>
            <w:vMerge w:val="restart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Ед. измерения</w:t>
            </w:r>
          </w:p>
        </w:tc>
        <w:tc>
          <w:tcPr>
            <w:tcW w:w="1373" w:type="dxa"/>
            <w:vMerge w:val="restart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Кол-во</w:t>
            </w:r>
          </w:p>
        </w:tc>
        <w:tc>
          <w:tcPr>
            <w:tcW w:w="5493" w:type="dxa"/>
            <w:gridSpan w:val="2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Стоимость &lt;*&gt; (руб., без НДС)</w:t>
            </w:r>
          </w:p>
        </w:tc>
        <w:tc>
          <w:tcPr>
            <w:tcW w:w="1765" w:type="dxa"/>
            <w:vMerge w:val="restart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Примечание</w:t>
            </w:r>
          </w:p>
        </w:tc>
      </w:tr>
      <w:tr w:rsidR="00FC4717" w:rsidRPr="00FC4717" w:rsidTr="00FC4717">
        <w:trPr>
          <w:trHeight w:val="367"/>
        </w:trPr>
        <w:tc>
          <w:tcPr>
            <w:tcW w:w="981" w:type="dxa"/>
            <w:vMerge/>
          </w:tcPr>
          <w:p w:rsidR="00AA1F38" w:rsidRPr="00FC4717" w:rsidRDefault="00AA1F38"/>
        </w:tc>
        <w:tc>
          <w:tcPr>
            <w:tcW w:w="2746" w:type="dxa"/>
            <w:vMerge/>
          </w:tcPr>
          <w:p w:rsidR="00AA1F38" w:rsidRPr="00FC4717" w:rsidRDefault="00AA1F38"/>
        </w:tc>
        <w:tc>
          <w:tcPr>
            <w:tcW w:w="2158" w:type="dxa"/>
            <w:vMerge/>
          </w:tcPr>
          <w:p w:rsidR="00AA1F38" w:rsidRPr="00FC4717" w:rsidRDefault="00AA1F38"/>
        </w:tc>
        <w:tc>
          <w:tcPr>
            <w:tcW w:w="1373" w:type="dxa"/>
            <w:vMerge/>
          </w:tcPr>
          <w:p w:rsidR="00AA1F38" w:rsidRPr="00FC4717" w:rsidRDefault="00AA1F38"/>
        </w:tc>
        <w:tc>
          <w:tcPr>
            <w:tcW w:w="2354" w:type="dxa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за единицу</w:t>
            </w:r>
          </w:p>
        </w:tc>
        <w:tc>
          <w:tcPr>
            <w:tcW w:w="3139" w:type="dxa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всего, (гр. 4 x гр. 5)</w:t>
            </w:r>
          </w:p>
        </w:tc>
        <w:tc>
          <w:tcPr>
            <w:tcW w:w="1765" w:type="dxa"/>
            <w:vMerge/>
          </w:tcPr>
          <w:p w:rsidR="00AA1F38" w:rsidRPr="00FC4717" w:rsidRDefault="00AA1F38"/>
        </w:tc>
      </w:tr>
      <w:tr w:rsidR="00FC4717" w:rsidRPr="00FC4717" w:rsidTr="00FC4717">
        <w:trPr>
          <w:trHeight w:val="254"/>
        </w:trPr>
        <w:tc>
          <w:tcPr>
            <w:tcW w:w="981" w:type="dxa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1</w:t>
            </w:r>
          </w:p>
        </w:tc>
        <w:tc>
          <w:tcPr>
            <w:tcW w:w="2746" w:type="dxa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2</w:t>
            </w:r>
          </w:p>
        </w:tc>
        <w:tc>
          <w:tcPr>
            <w:tcW w:w="2158" w:type="dxa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3</w:t>
            </w:r>
          </w:p>
        </w:tc>
        <w:tc>
          <w:tcPr>
            <w:tcW w:w="1373" w:type="dxa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4</w:t>
            </w:r>
          </w:p>
        </w:tc>
        <w:tc>
          <w:tcPr>
            <w:tcW w:w="2354" w:type="dxa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5</w:t>
            </w:r>
          </w:p>
        </w:tc>
        <w:tc>
          <w:tcPr>
            <w:tcW w:w="3139" w:type="dxa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6</w:t>
            </w:r>
          </w:p>
        </w:tc>
        <w:tc>
          <w:tcPr>
            <w:tcW w:w="1765" w:type="dxa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7</w:t>
            </w:r>
          </w:p>
        </w:tc>
      </w:tr>
      <w:tr w:rsidR="00FC4717" w:rsidRPr="00FC4717" w:rsidTr="00FC4717">
        <w:trPr>
          <w:trHeight w:val="254"/>
        </w:trPr>
        <w:tc>
          <w:tcPr>
            <w:tcW w:w="981" w:type="dxa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1</w:t>
            </w:r>
          </w:p>
        </w:tc>
        <w:tc>
          <w:tcPr>
            <w:tcW w:w="2746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2158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1373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2354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3139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1765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</w:tr>
      <w:tr w:rsidR="00FC4717" w:rsidRPr="00FC4717" w:rsidTr="00FC4717">
        <w:trPr>
          <w:trHeight w:val="254"/>
        </w:trPr>
        <w:tc>
          <w:tcPr>
            <w:tcW w:w="981" w:type="dxa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2</w:t>
            </w:r>
          </w:p>
        </w:tc>
        <w:tc>
          <w:tcPr>
            <w:tcW w:w="2746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2158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1373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2354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3139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1765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</w:tr>
      <w:tr w:rsidR="00FC4717" w:rsidRPr="00FC4717" w:rsidTr="00FC4717">
        <w:trPr>
          <w:trHeight w:val="268"/>
        </w:trPr>
        <w:tc>
          <w:tcPr>
            <w:tcW w:w="981" w:type="dxa"/>
          </w:tcPr>
          <w:p w:rsidR="00AA1F38" w:rsidRPr="00FC4717" w:rsidRDefault="00AA1F38">
            <w:pPr>
              <w:pStyle w:val="ConsPlusNormal"/>
            </w:pPr>
            <w:r w:rsidRPr="00FC4717">
              <w:t>...</w:t>
            </w:r>
          </w:p>
        </w:tc>
        <w:tc>
          <w:tcPr>
            <w:tcW w:w="2746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2158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1373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2354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3139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1765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</w:tr>
      <w:tr w:rsidR="00FC4717" w:rsidRPr="00FC4717" w:rsidTr="00FC4717">
        <w:trPr>
          <w:trHeight w:val="254"/>
        </w:trPr>
        <w:tc>
          <w:tcPr>
            <w:tcW w:w="981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2746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2158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1373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2354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3139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1765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</w:tr>
      <w:tr w:rsidR="00FC4717" w:rsidRPr="00FC4717" w:rsidTr="00FC4717">
        <w:trPr>
          <w:trHeight w:val="254"/>
        </w:trPr>
        <w:tc>
          <w:tcPr>
            <w:tcW w:w="9614" w:type="dxa"/>
            <w:gridSpan w:val="5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ИТОГО</w:t>
            </w:r>
          </w:p>
        </w:tc>
        <w:tc>
          <w:tcPr>
            <w:tcW w:w="3139" w:type="dxa"/>
          </w:tcPr>
          <w:p w:rsidR="00AA1F38" w:rsidRPr="00FC4717" w:rsidRDefault="00AA1F38">
            <w:pPr>
              <w:pStyle w:val="ConsPlusNormal"/>
              <w:jc w:val="both"/>
            </w:pPr>
          </w:p>
        </w:tc>
        <w:tc>
          <w:tcPr>
            <w:tcW w:w="1765" w:type="dxa"/>
          </w:tcPr>
          <w:p w:rsidR="00AA1F38" w:rsidRPr="00FC4717" w:rsidRDefault="00AA1F38">
            <w:pPr>
              <w:pStyle w:val="ConsPlusNormal"/>
              <w:jc w:val="center"/>
            </w:pPr>
            <w:r w:rsidRPr="00FC4717">
              <w:t>X</w:t>
            </w:r>
          </w:p>
        </w:tc>
      </w:tr>
    </w:tbl>
    <w:p w:rsidR="00AA1F38" w:rsidRPr="00FC4717" w:rsidRDefault="00AA1F38">
      <w:pPr>
        <w:pStyle w:val="ConsPlusNormal"/>
        <w:jc w:val="both"/>
      </w:pPr>
    </w:p>
    <w:p w:rsidR="00AA1F38" w:rsidRPr="00FC4717" w:rsidRDefault="00AA1F38">
      <w:pPr>
        <w:pStyle w:val="ConsPlusNonformat"/>
        <w:jc w:val="both"/>
      </w:pPr>
      <w:proofErr w:type="gramStart"/>
      <w:r w:rsidRPr="00FC4717">
        <w:t>Примечание:  Затраты</w:t>
      </w:r>
      <w:proofErr w:type="gramEnd"/>
      <w:r w:rsidRPr="00FC4717">
        <w:t xml:space="preserve">  на  материальные  и другие ресурсы формируются исходя</w:t>
      </w:r>
    </w:p>
    <w:p w:rsidR="00AA1F38" w:rsidRPr="00FC4717" w:rsidRDefault="00AA1F38">
      <w:pPr>
        <w:pStyle w:val="ConsPlusNonformat"/>
        <w:jc w:val="both"/>
      </w:pPr>
      <w:r w:rsidRPr="00FC4717">
        <w:t>из цен их приобретения (без учета НДС).</w:t>
      </w:r>
    </w:p>
    <w:p w:rsidR="00AA1F38" w:rsidRPr="00FC4717" w:rsidRDefault="00AA1F38">
      <w:pPr>
        <w:pStyle w:val="ConsPlusNonformat"/>
        <w:jc w:val="both"/>
      </w:pPr>
    </w:p>
    <w:p w:rsidR="00AA1F38" w:rsidRPr="00FC4717" w:rsidRDefault="00AA1F38">
      <w:pPr>
        <w:pStyle w:val="ConsPlusNonformat"/>
        <w:jc w:val="both"/>
      </w:pPr>
      <w:r w:rsidRPr="00FC4717">
        <w:t>Руководитель                                _________________________</w:t>
      </w:r>
    </w:p>
    <w:p w:rsidR="00AA1F38" w:rsidRPr="00FC4717" w:rsidRDefault="00AA1F38">
      <w:pPr>
        <w:pStyle w:val="ConsPlusNonformat"/>
        <w:jc w:val="both"/>
      </w:pPr>
      <w:r w:rsidRPr="00FC4717">
        <w:t xml:space="preserve">                                                   (подпись)</w:t>
      </w:r>
    </w:p>
    <w:p w:rsidR="00AA1F38" w:rsidRPr="00FC4717" w:rsidRDefault="00AA1F38">
      <w:pPr>
        <w:pStyle w:val="ConsPlusNonformat"/>
        <w:jc w:val="both"/>
      </w:pPr>
      <w:r w:rsidRPr="00FC4717">
        <w:t xml:space="preserve">                                      М.П.</w:t>
      </w:r>
    </w:p>
    <w:p w:rsidR="00AA1F38" w:rsidRPr="00FC4717" w:rsidRDefault="00AA1F38">
      <w:pPr>
        <w:pStyle w:val="ConsPlusNonformat"/>
        <w:jc w:val="both"/>
      </w:pPr>
      <w:r w:rsidRPr="00FC4717">
        <w:t xml:space="preserve">                                            _________________________</w:t>
      </w:r>
    </w:p>
    <w:p w:rsidR="00AA1F38" w:rsidRPr="00FC4717" w:rsidRDefault="00AA1F38">
      <w:pPr>
        <w:pStyle w:val="ConsPlusNonformat"/>
        <w:jc w:val="both"/>
      </w:pPr>
      <w:r w:rsidRPr="00FC4717">
        <w:t xml:space="preserve">                                                    (Ф.И.О.)</w:t>
      </w:r>
    </w:p>
    <w:p w:rsidR="00AA1F38" w:rsidRPr="00FC4717" w:rsidRDefault="00AA1F38">
      <w:pPr>
        <w:pStyle w:val="ConsPlusNonformat"/>
        <w:jc w:val="both"/>
      </w:pPr>
    </w:p>
    <w:p w:rsidR="00AA1F38" w:rsidRPr="00FC4717" w:rsidRDefault="00AA1F38">
      <w:pPr>
        <w:pStyle w:val="ConsPlusNonformat"/>
        <w:jc w:val="both"/>
      </w:pPr>
      <w:r w:rsidRPr="00FC4717">
        <w:t xml:space="preserve">Гл. бухгалтер (начальник </w:t>
      </w:r>
      <w:proofErr w:type="gramStart"/>
      <w:r w:rsidRPr="00FC4717">
        <w:t xml:space="preserve">ПЭО)   </w:t>
      </w:r>
      <w:proofErr w:type="gramEnd"/>
      <w:r w:rsidRPr="00FC4717">
        <w:t xml:space="preserve">            _________________________</w:t>
      </w:r>
    </w:p>
    <w:p w:rsidR="00AA1F38" w:rsidRPr="00FC4717" w:rsidRDefault="00AA1F38">
      <w:pPr>
        <w:pStyle w:val="ConsPlusNonformat"/>
        <w:jc w:val="both"/>
      </w:pPr>
      <w:r w:rsidRPr="00FC4717">
        <w:t xml:space="preserve">                                                    (подпись)</w:t>
      </w:r>
    </w:p>
    <w:p w:rsidR="00AA1F38" w:rsidRPr="00FC4717" w:rsidRDefault="00AA1F38">
      <w:pPr>
        <w:pStyle w:val="ConsPlusNonformat"/>
        <w:jc w:val="both"/>
      </w:pPr>
      <w:r w:rsidRPr="00FC4717">
        <w:t xml:space="preserve">                                            _________________________</w:t>
      </w:r>
    </w:p>
    <w:p w:rsidR="0052462D" w:rsidRPr="00FC4717" w:rsidRDefault="00AA1F38" w:rsidP="00FC4717">
      <w:pPr>
        <w:pStyle w:val="ConsPlusNonformat"/>
        <w:jc w:val="both"/>
      </w:pPr>
      <w:r w:rsidRPr="00FC4717">
        <w:lastRenderedPageBreak/>
        <w:t xml:space="preserve">                                                     (Ф.И.О.)</w:t>
      </w:r>
    </w:p>
    <w:sectPr w:rsidR="0052462D" w:rsidRPr="00FC4717" w:rsidSect="00513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38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A1F38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C471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F7502-7D0E-40B4-8DF5-6B4BE388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1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1F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258718B391ED3E0D854C70247DE4179153717CF06F02C9AF6FFF45E55010893AF835961DEA55957E6440F5wEj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2019-04-15T06:25:00Z</dcterms:created>
  <dcterms:modified xsi:type="dcterms:W3CDTF">2019-04-15T06:25:00Z</dcterms:modified>
</cp:coreProperties>
</file>