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Акт осмотра и фиксации состояния объекта</w:t>
      </w:r>
    </w:p>
    <w:p>
      <w:pPr>
        <w:pStyle w:val="Subtitle"/>
      </w:pPr>
      <w:r>
        <w:t>Редактируемый бланк</w:t>
      </w:r>
    </w:p>
    <w:p>
      <w:r>
        <w:t>Акт фиксирует доступные наблюдения. Он не является заключением о безопасности несущей конструкции и не устанавливает виновное лицо.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акта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Участники и полномочия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Основание и уведомление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Условия и доступ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Применённые средства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Наблюдения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Приложения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Замечания сторон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Дальнейшие действия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Другие участники: __________________</w:t>
        <w:br/>
        <w:t>Подпись и особое мнение: __________________</w:t>
        <w:br/>
        <w:t>Отметка об отказе от подписи и фактические обстоятельства: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A04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