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Мотивированные замечания к предъявленным работам</w:t>
      </w:r>
    </w:p>
    <w:p>
      <w:pPr>
        <w:pStyle w:val="Subtitle"/>
      </w:pPr>
      <w:r>
        <w:t>Редактируемый бланк</w:t>
      </w:r>
    </w:p>
    <w:p>
      <w:r>
        <w:t>Отказ от приёмки требует самостоятельной оценки оснований. Наличие любого замечания не даёт автоматического права отказаться от всего результата; учитывайте пункт 6 статьи 753 ГК РФ.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Кому и от кого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Связанный акт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Замечание и его основание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Что требуется уточнить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Отдельно по скрытым работам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Предлагаемое действие и срок ответа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Приложения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</w:pPr>
      <w:r>
        <w:t>Основания для подготовки: ГК РФ, статьи 720, 753; условия договора.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A12  •  1.0 от 04.11.2026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