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Акт фиксации состояния работ при смене подрядчика</w:t>
      </w:r>
    </w:p>
    <w:p>
      <w:pPr>
        <w:pStyle w:val="Subtitle"/>
      </w:pPr>
      <w:r>
        <w:t>Редактируемый бланк</w:t>
      </w:r>
    </w:p>
    <w:p>
      <w:r>
        <w:t>Акт устанавливает состояние на дату. Он сам по себе не расторгает договор и не является окончательным расчётом или отказом от требований.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Номер акта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Участники и уведомление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Момент фиксации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Выполненные работы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Незавершённые работы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Скрытые части и ограничения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Материалы и оборудование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Недостатки и позиции сторон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Приложения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Другие участники: __________________</w:t>
        <w:br/>
        <w:t>Подпись и особое мнение: __________________</w:t>
        <w:br/>
        <w:t>Отметка об отказе от подписи и фактические обстоятельства: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</w:pPr>
      <w:r>
        <w:t>Основания для подготовки: ГК РФ, статьи 720, 753; условия договора.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A18  •  1.0 от 04.11.2026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