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фиксации состояния работ при смене подрядчика</w:t>
      </w:r>
    </w:p>
    <w:p>
      <w:pPr>
        <w:pStyle w:val="Subtitle"/>
      </w:pPr>
      <w:r>
        <w:t>Пример заполнения. Учебные данные</w:t>
      </w:r>
    </w:p>
    <w:p>
      <w:r>
        <w:t>Акт устанавливает состояние на дату. Он сам по себе не расторгает договор и не является окончательным расчётом или отказом от требований.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В — корпус 2, фасад и склад М-1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У-В/26 от 01.08.2026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25.10.2026, 10:00–13:00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Фасад в осях 1–6 / А, отметки 0,000–3,000</w:t>
      </w:r>
    </w:p>
    <w:p>
      <w:pPr>
        <w:keepNext/>
        <w:spacing w:after="40"/>
      </w:pPr>
      <w:r>
        <w:rPr>
          <w:b/>
        </w:rPr>
        <w:t>Номер акта</w:t>
      </w:r>
    </w:p>
    <w:p>
      <w:pPr>
        <w:spacing w:after="100"/>
      </w:pPr>
      <w:r>
        <w:t>ФС-В/01</w:t>
      </w:r>
    </w:p>
    <w:p>
      <w:pPr>
        <w:keepNext/>
        <w:spacing w:after="40"/>
      </w:pPr>
      <w:r>
        <w:rPr>
          <w:b/>
        </w:rPr>
        <w:t>Участники и уведомление</w:t>
      </w:r>
    </w:p>
    <w:p>
      <w:pPr>
        <w:spacing w:after="100"/>
      </w:pPr>
      <w:r>
        <w:t>Заказчик В, Подрядчик В; приглашение от 19.10.2026, способ доставки по договору</w:t>
      </w:r>
    </w:p>
    <w:p>
      <w:pPr>
        <w:keepNext/>
        <w:spacing w:after="40"/>
      </w:pPr>
      <w:r>
        <w:rPr>
          <w:b/>
        </w:rPr>
        <w:t>Момент фиксации</w:t>
      </w:r>
    </w:p>
    <w:p>
      <w:pPr>
        <w:spacing w:after="100"/>
      </w:pPr>
      <w:r>
        <w:t>25.10.2026, 13:00; работы нового подрядчика ещё не начаты</w:t>
      </w:r>
    </w:p>
    <w:p>
      <w:pPr>
        <w:keepNext/>
        <w:spacing w:after="40"/>
      </w:pPr>
      <w:r>
        <w:rPr>
          <w:b/>
        </w:rPr>
        <w:t>Выполненные работы</w:t>
      </w:r>
    </w:p>
    <w:p>
      <w:pPr>
        <w:spacing w:after="100"/>
      </w:pPr>
      <w:r>
        <w:t>Облицовка фасада в осях 1–3 / А: 90 м² по ведомости ГР-В/01</w:t>
      </w:r>
    </w:p>
    <w:p>
      <w:pPr>
        <w:keepNext/>
        <w:spacing w:after="40"/>
      </w:pPr>
      <w:r>
        <w:rPr>
          <w:b/>
        </w:rPr>
        <w:t>Незавершённые работы</w:t>
      </w:r>
    </w:p>
    <w:p>
      <w:pPr>
        <w:spacing w:after="100"/>
      </w:pPr>
      <w:r>
        <w:t>Оси 3–6 / А: подготовлен участок, облицовка 90 м² не установлена</w:t>
      </w:r>
    </w:p>
    <w:p>
      <w:pPr>
        <w:keepNext/>
        <w:spacing w:after="40"/>
      </w:pPr>
      <w:r>
        <w:rPr>
          <w:b/>
        </w:rPr>
        <w:t>Скрытые части и ограничения</w:t>
      </w:r>
    </w:p>
    <w:p>
      <w:pPr>
        <w:spacing w:after="100"/>
      </w:pPr>
      <w:r>
        <w:t>Крепления облицовки без вскрытия недоступны; ИД-02 не представлен</w:t>
      </w:r>
    </w:p>
    <w:p>
      <w:pPr>
        <w:keepNext/>
        <w:spacing w:after="40"/>
      </w:pPr>
      <w:r>
        <w:rPr>
          <w:b/>
        </w:rPr>
        <w:t>Материалы и оборудование</w:t>
      </w:r>
    </w:p>
    <w:p>
      <w:pPr>
        <w:spacing w:after="100"/>
      </w:pPr>
      <w:r>
        <w:t>Склад М-1: панели 20 шт.; отдельная опись МТ-В/01</w:t>
      </w:r>
    </w:p>
    <w:p>
      <w:pPr>
        <w:keepNext/>
        <w:spacing w:after="40"/>
      </w:pPr>
      <w:r>
        <w:rPr>
          <w:b/>
        </w:rPr>
        <w:t>Недостатки и позиции сторон</w:t>
      </w:r>
    </w:p>
    <w:p>
      <w:pPr>
        <w:keepNext/>
        <w:spacing w:after="100"/>
      </w:pPr>
      <w:r>
        <w:t>Доступные поверхности осмотрены; состав скрытых работ требует дополнительных подтверждений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keepNext/>
        <w:spacing w:after="100"/>
      </w:pPr>
      <w:r>
        <w:t>ГР-В/01; МТ-В/01; ИД-Р/01; схема, фотографии и журнал доступа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A18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