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передачи строительной площадки</w:t>
      </w:r>
    </w:p>
    <w:p>
      <w:pPr>
        <w:pStyle w:val="Subtitle"/>
      </w:pPr>
      <w:r>
        <w:t>Редактируемый бланк</w:t>
      </w:r>
    </w:p>
    <w:p>
      <w:r>
        <w:t>Проверяйте основание прекращения доступа и полномочия сторон. Не добавляйте формулировку «претензий не имеем», если согласование касается только факта передачи.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Номер документа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Передающая и принимающая стороны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Границы и время передачи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Основание и документы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Доступ, ключи и безопасность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Материалы и имущество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Временные сети и показания приборов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Разногласия и приложения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A20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