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передачи материалов и оборудования</w:t>
      </w:r>
    </w:p>
    <w:p>
      <w:pPr>
        <w:pStyle w:val="Subtitle"/>
      </w:pPr>
      <w:r>
        <w:t>Редактируемый бланк</w:t>
      </w:r>
    </w:p>
    <w:p>
      <w:r>
        <w:t>Передача на хранение, возврат имущества и отчуждение — разные основания. Выберите фактическое основание и не подменяйте его универсальной формулировкой.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документа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Участники и полномочия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Основание передачи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Имущество и количество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Состояние и место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Документы и принадлежность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Ответственное лицо и условия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Разногласия и приложения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A22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