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ввода объекта в эксплуатацию</w:t>
      </w:r>
    </w:p>
    <w:p>
      <w:pPr>
        <w:pStyle w:val="Subtitle"/>
      </w:pPr>
      <w:r>
        <w:t>Внутренний организационный акт</w:t>
      </w:r>
    </w:p>
    <w:p>
      <w:pPr>
        <w:keepNext w:val="0"/>
        <w:keepLines/>
        <w:spacing w:after="140" w:before="0"/>
      </w:pPr>
      <w:r>
        <w:rPr>
          <w:rFonts w:ascii="Arial" w:hAnsi="Arial" w:cs="Arial" w:eastAsia="Arial"/>
          <w:b w:val="0"/>
          <w:color w:val="000000"/>
          <w:sz w:val="18"/>
        </w:rPr>
        <w:t>Авторский шаблон Экспертного центра ИНДЕКС  |  Учебный пример заполнения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Номер, дата и место: </w:t>
      </w:r>
      <w:r>
        <w:rPr>
          <w:rFonts w:ascii="Arial" w:hAnsi="Arial" w:cs="Arial" w:eastAsia="Arial"/>
          <w:b w:val="0"/>
          <w:color w:val="000000"/>
          <w:sz w:val="21"/>
        </w:rPr>
        <w:t>УЧЕБНЫЙ-01; 06.11.2026 (учебная дата); учебная площадка.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 w:val="0"/>
          <w:color w:val="000000"/>
          <w:sz w:val="19"/>
        </w:rPr>
        <w:t>Учебная ситуация: подтверждающие документы не представлены, поэтому передача для эксплуатации отложена. Обозначения объекта и участников вымышлены; разрешения, проверки и подписи не имитируются.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 w:val="0"/>
          <w:color w:val="000000"/>
          <w:sz w:val="19"/>
        </w:rPr>
        <w:t>Акт предназначен для оформления передачи принятого объекта эксплуатирующей организации или ответственному подразделению. Он не заменяет разрешение на ввод, если оно требуется, и сам по себе не разрешает эксплуатацию.</w:t>
      </w:r>
    </w:p>
    <w:p>
      <w:pPr>
        <w:pStyle w:val="Heading1"/>
        <w:keepNext/>
      </w:pPr>
      <w:r>
        <w:t>1 Основания оформления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Решение собственника или уполномоченного лица: </w:t>
      </w:r>
      <w:r>
        <w:rPr>
          <w:rFonts w:ascii="Arial" w:hAnsi="Arial" w:cs="Arial" w:eastAsia="Arial"/>
          <w:b w:val="0"/>
          <w:color w:val="000000"/>
          <w:sz w:val="21"/>
        </w:rPr>
        <w:t>Не принято. До оформления передачи необходимо указать действительное решение и полномочия подписантов.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Договор и иные основания: </w:t>
      </w:r>
      <w:r>
        <w:rPr>
          <w:rFonts w:ascii="Arial" w:hAnsi="Arial" w:cs="Arial" w:eastAsia="Arial"/>
          <w:b w:val="0"/>
          <w:color w:val="000000"/>
          <w:sz w:val="21"/>
        </w:rPr>
        <w:t>Условия передачи определяются договором. Его номер, дата и соответствующий пункт в учебном примере не приводятся.</w:t>
      </w:r>
    </w:p>
    <w:p>
      <w:pPr>
        <w:pStyle w:val="Heading1"/>
        <w:keepNext/>
      </w:pPr>
      <w:r>
        <w:t>2 Сведения об объекте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Наименование и назначение: </w:t>
      </w:r>
      <w:r>
        <w:rPr>
          <w:rFonts w:ascii="Arial" w:hAnsi="Arial" w:cs="Arial" w:eastAsia="Arial"/>
          <w:b w:val="0"/>
          <w:color w:val="000000"/>
          <w:sz w:val="21"/>
        </w:rPr>
        <w:t>Административное здание А; административные помещения. Учебное обозначение.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Адрес и идентификаторы: </w:t>
      </w:r>
      <w:r>
        <w:rPr>
          <w:rFonts w:ascii="Arial" w:hAnsi="Arial" w:cs="Arial" w:eastAsia="Arial"/>
          <w:b w:val="0"/>
          <w:color w:val="000000"/>
          <w:sz w:val="21"/>
        </w:rPr>
        <w:t>Учебная площадка, участок А. Адрес и кадастровый номер необходимо сверить с документами на объект.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Основные характеристики и границы передачи: </w:t>
      </w:r>
      <w:r>
        <w:rPr>
          <w:rFonts w:ascii="Arial" w:hAnsi="Arial" w:cs="Arial" w:eastAsia="Arial"/>
          <w:b w:val="0"/>
          <w:color w:val="000000"/>
          <w:sz w:val="21"/>
        </w:rPr>
        <w:t>Одноэтажное здание площадью 120 м² (учебные данные). Планируется передача целиком; состав систем и границы ответственности подлежат согласованию.</w:t>
      </w:r>
    </w:p>
    <w:p>
      <w:pPr>
        <w:pStyle w:val="Heading1"/>
        <w:keepNext/>
      </w:pPr>
      <w:r>
        <w:t>3 Участники и полномочия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2049"/>
        <w:gridCol w:w="2968"/>
        <w:gridCol w:w="5017"/>
      </w:tblGrid>
      <w:tr>
        <w:trPr>
          <w:tblHeader/>
          <w:cantSplit/>
        </w:trPr>
        <w:tc>
          <w:tcPr>
            <w:tcW w:type="dxa" w:w="2049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Роль</w:t>
            </w:r>
          </w:p>
        </w:tc>
        <w:tc>
          <w:tcPr>
            <w:tcW w:type="dxa" w:w="2968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Организация или подразделение</w:t>
            </w:r>
          </w:p>
        </w:tc>
        <w:tc>
          <w:tcPr>
            <w:tcW w:type="dxa" w:w="5017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ФИО и должность представителя</w:t>
              <w:br/>
              <w:t>Основание полномочий</w:t>
            </w:r>
          </w:p>
        </w:tc>
      </w:tr>
      <w:tr>
        <w:trPr>
          <w:trHeight w:val="792"/>
          <w:cantSplit/>
        </w:trPr>
        <w:tc>
          <w:tcPr>
            <w:tcW w:type="dxa" w:w="2049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Собственник / заказчик</w:t>
            </w:r>
          </w:p>
        </w:tc>
        <w:tc>
          <w:tcPr>
            <w:tcW w:type="dxa" w:w="296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Заказчик А (учебное обозначение)</w:t>
            </w:r>
          </w:p>
        </w:tc>
        <w:tc>
          <w:tcPr>
            <w:tcW w:type="dxa" w:w="5017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Представитель не назначен; документ о полномочиях не представлен.</w:t>
            </w:r>
          </w:p>
        </w:tc>
      </w:tr>
      <w:tr>
        <w:trPr>
          <w:trHeight w:val="792"/>
          <w:cantSplit/>
        </w:trPr>
        <w:tc>
          <w:tcPr>
            <w:tcW w:type="dxa" w:w="2049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Передающая сторона</w:t>
            </w:r>
          </w:p>
        </w:tc>
        <w:tc>
          <w:tcPr>
            <w:tcW w:type="dxa" w:w="296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Подрядчик Б (учебное обозначение)</w:t>
            </w:r>
          </w:p>
        </w:tc>
        <w:tc>
          <w:tcPr>
            <w:tcW w:type="dxa" w:w="5017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Представитель не назначен; документ о полномочиях не представлен.</w:t>
            </w:r>
          </w:p>
        </w:tc>
      </w:tr>
      <w:tr>
        <w:trPr>
          <w:trHeight w:val="792"/>
          <w:cantSplit/>
        </w:trPr>
        <w:tc>
          <w:tcPr>
            <w:tcW w:type="dxa" w:w="2049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Принимающая сторона</w:t>
            </w:r>
          </w:p>
        </w:tc>
        <w:tc>
          <w:tcPr>
            <w:tcW w:type="dxa" w:w="296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Эксплуатационная служба В (учебное обозначение)</w:t>
            </w:r>
          </w:p>
        </w:tc>
        <w:tc>
          <w:tcPr>
            <w:tcW w:type="dxa" w:w="5017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Ответственный представитель должен быть назначен до передачи.</w:t>
            </w:r>
          </w:p>
        </w:tc>
      </w:tr>
    </w:tbl>
    <w:p>
      <w:pPr>
        <w:keepNext w:val="0"/>
        <w:keepLines/>
        <w:spacing w:after="40" w:before="0"/>
      </w:pPr>
      <w:r>
        <w:rPr>
          <w:rFonts w:ascii="Arial" w:hAnsi="Arial" w:cs="Arial" w:eastAsia="Arial"/>
          <w:b w:val="0"/>
          <w:color w:val="000000"/>
          <w:sz w:val="4"/>
        </w:rPr>
      </w:r>
    </w:p>
    <w:p>
      <w:r>
        <w:br w:type="page"/>
      </w:r>
    </w:p>
    <w:p>
      <w:pPr>
        <w:pStyle w:val="Heading1"/>
        <w:keepNext/>
      </w:pPr>
      <w:r>
        <w:t>4 Приемка и разрешительные основания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Документ о приемке результата работ: </w:t>
      </w:r>
      <w:r>
        <w:rPr>
          <w:rFonts w:ascii="Arial" w:hAnsi="Arial" w:cs="Arial" w:eastAsia="Arial"/>
          <w:b w:val="0"/>
          <w:color w:val="000000"/>
          <w:sz w:val="21"/>
        </w:rPr>
        <w:t>Не представлен. Требуется акт, оформленный по договору, с перечнем принятых работ и замечаний.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Разрешение на ввод: </w:t>
      </w:r>
      <w:r>
        <w:rPr>
          <w:rFonts w:ascii="Arial" w:hAnsi="Arial" w:cs="Arial" w:eastAsia="Arial"/>
          <w:b w:val="0"/>
          <w:color w:val="000000"/>
          <w:sz w:val="21"/>
        </w:rPr>
        <w:t>Не установлено, требуется ли разрешение. До выяснения основания эксплуатация по этому примеру не начинается.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Если разрешение требуется: </w:t>
      </w:r>
      <w:r>
        <w:rPr>
          <w:rFonts w:ascii="Arial" w:hAnsi="Arial" w:cs="Arial" w:eastAsia="Arial"/>
          <w:b w:val="0"/>
          <w:color w:val="000000"/>
          <w:sz w:val="21"/>
        </w:rPr>
        <w:t>Сведения о выдаче отсутствуют. Номер записи в реестре и реквизиты выписки не указаны; вымышленные сведения не используются.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Если разрешение не требуется: </w:t>
      </w:r>
      <w:r>
        <w:rPr>
          <w:rFonts w:ascii="Arial" w:hAnsi="Arial" w:cs="Arial" w:eastAsia="Arial"/>
          <w:b w:val="0"/>
          <w:color w:val="000000"/>
          <w:sz w:val="21"/>
        </w:rPr>
        <w:t>Основание неприменения разрешительного порядка не установлено. Необходимо подтвердить норму закона и относящиеся к объекту факты.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18"/>
        </w:rPr>
        <w:t>С 01.09.2026 выдача разрешения подтверждается записью в реестре. Сведения о разрешении отражают по действительной записи и выписке; для ранее выданного документа указывают его реквизиты.</w:t>
      </w:r>
    </w:p>
    <w:p>
      <w:pPr>
        <w:pStyle w:val="Heading1"/>
        <w:keepNext/>
      </w:pPr>
      <w:r>
        <w:t>5 Проверки и подтверждающие документы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 w:val="0"/>
          <w:color w:val="000000"/>
          <w:sz w:val="19"/>
        </w:rPr>
        <w:t>Вносят только фактически рассмотренные документы и проведенные проверки. Отсутствующие сведения и непроверенные вопросы указывают прямо.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1951"/>
        <w:gridCol w:w="3345"/>
        <w:gridCol w:w="4738"/>
      </w:tblGrid>
      <w:tr>
        <w:trPr>
          <w:tblHeader/>
          <w:cantSplit/>
        </w:trPr>
        <w:tc>
          <w:tcPr>
            <w:tcW w:type="dxa" w:w="1951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Проверка</w:t>
            </w:r>
          </w:p>
        </w:tc>
        <w:tc>
          <w:tcPr>
            <w:tcW w:type="dxa" w:w="3345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Документ и его реквизиты</w:t>
            </w:r>
          </w:p>
        </w:tc>
        <w:tc>
          <w:tcPr>
            <w:tcW w:type="dxa" w:w="4738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Результат и непроверенные вопросы</w:t>
            </w:r>
          </w:p>
        </w:tc>
      </w:tr>
      <w:tr>
        <w:trPr>
          <w:trHeight w:val="720"/>
          <w:cantSplit/>
        </w:trPr>
        <w:tc>
          <w:tcPr>
            <w:tcW w:type="dxa" w:w="195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Осмотр объекта</w:t>
            </w:r>
          </w:p>
        </w:tc>
        <w:tc>
          <w:tcPr>
            <w:tcW w:type="dxa" w:w="3345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Акт осмотра не представлен.</w:t>
            </w:r>
          </w:p>
        </w:tc>
        <w:tc>
          <w:tcPr>
            <w:tcW w:type="dxa" w:w="473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Состояние объекта не подтверждено. Организовать осмотр и зафиксировать результат.</w:t>
            </w:r>
          </w:p>
        </w:tc>
      </w:tr>
      <w:tr>
        <w:trPr>
          <w:trHeight w:val="720"/>
          <w:cantSplit/>
        </w:trPr>
        <w:tc>
          <w:tcPr>
            <w:tcW w:type="dxa" w:w="195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Испытания и наладка</w:t>
            </w:r>
          </w:p>
        </w:tc>
        <w:tc>
          <w:tcPr>
            <w:tcW w:type="dxa" w:w="3345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Протоколы не представлены.</w:t>
            </w:r>
          </w:p>
        </w:tc>
        <w:tc>
          <w:tcPr>
            <w:tcW w:type="dxa" w:w="473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Определить применимый перечень испытаний по проекту и требованиям к объекту.</w:t>
            </w:r>
          </w:p>
        </w:tc>
      </w:tr>
      <w:tr>
        <w:trPr>
          <w:trHeight w:val="720"/>
          <w:cantSplit/>
        </w:trPr>
        <w:tc>
          <w:tcPr>
            <w:tcW w:type="dxa" w:w="195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Проверка документации</w:t>
            </w:r>
          </w:p>
        </w:tc>
        <w:tc>
          <w:tcPr>
            <w:tcW w:type="dxa" w:w="3345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Опись не представлена.</w:t>
            </w:r>
          </w:p>
        </w:tc>
        <w:tc>
          <w:tcPr>
            <w:tcW w:type="dxa" w:w="473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Комплектность и содержание документации не проверены.</w:t>
            </w:r>
          </w:p>
        </w:tc>
      </w:tr>
    </w:tbl>
    <w:p>
      <w:pPr>
        <w:keepNext w:val="0"/>
        <w:keepLines/>
        <w:spacing w:after="40" w:before="0"/>
      </w:pPr>
      <w:r>
        <w:rPr>
          <w:rFonts w:ascii="Arial" w:hAnsi="Arial" w:cs="Arial" w:eastAsia="Arial"/>
          <w:b w:val="0"/>
          <w:color w:val="000000"/>
          <w:sz w:val="4"/>
        </w:rPr>
      </w:r>
    </w:p>
    <w:p>
      <w:pPr>
        <w:pStyle w:val="Heading1"/>
        <w:keepNext/>
      </w:pPr>
      <w:r>
        <w:t>6 Замечания и ограничения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488"/>
        <w:gridCol w:w="3484"/>
        <w:gridCol w:w="3623"/>
        <w:gridCol w:w="2439"/>
      </w:tblGrid>
      <w:tr>
        <w:trPr>
          <w:tblHeader/>
          <w:cantSplit/>
        </w:trPr>
        <w:tc>
          <w:tcPr>
            <w:tcW w:type="dxa" w:w="488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№</w:t>
            </w:r>
          </w:p>
        </w:tc>
        <w:tc>
          <w:tcPr>
            <w:tcW w:type="dxa" w:w="3484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Замечание или ограничение</w:t>
            </w:r>
          </w:p>
        </w:tc>
        <w:tc>
          <w:tcPr>
            <w:tcW w:type="dxa" w:w="3623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Действие и ответственный</w:t>
            </w:r>
          </w:p>
        </w:tc>
        <w:tc>
          <w:tcPr>
            <w:tcW w:type="dxa" w:w="2439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Срок и подтверждение устранения</w:t>
            </w:r>
          </w:p>
        </w:tc>
      </w:tr>
      <w:tr>
        <w:trPr>
          <w:trHeight w:val="792"/>
          <w:cantSplit/>
        </w:trPr>
        <w:tc>
          <w:tcPr>
            <w:tcW w:type="dxa" w:w="48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1</w:t>
            </w:r>
          </w:p>
        </w:tc>
        <w:tc>
          <w:tcPr>
            <w:tcW w:type="dxa" w:w="3484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 подтверждены приемка и разрешительное основание.</w:t>
            </w:r>
          </w:p>
        </w:tc>
        <w:tc>
          <w:tcPr>
            <w:tcW w:type="dxa" w:w="3623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Заказчику А собрать документы и установить применимый порядок.</w:t>
            </w:r>
          </w:p>
        </w:tc>
        <w:tc>
          <w:tcPr>
            <w:tcW w:type="dxa" w:w="2439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До решения о передаче; срок согласовать.</w:t>
            </w:r>
          </w:p>
        </w:tc>
      </w:tr>
      <w:tr>
        <w:trPr>
          <w:trHeight w:val="792"/>
          <w:cantSplit/>
        </w:trPr>
        <w:tc>
          <w:tcPr>
            <w:tcW w:type="dxa" w:w="488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2</w:t>
            </w:r>
          </w:p>
        </w:tc>
        <w:tc>
          <w:tcPr>
            <w:tcW w:type="dxa" w:w="3484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Нет подтверждения проверок и комплектности документации.</w:t>
            </w:r>
          </w:p>
        </w:tc>
        <w:tc>
          <w:tcPr>
            <w:tcW w:type="dxa" w:w="3623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Участникам сверить документы и оформить результаты проверок.</w:t>
            </w:r>
          </w:p>
        </w:tc>
        <w:tc>
          <w:tcPr>
            <w:tcW w:type="dxa" w:w="2439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До начала эксплуатации; срок согласовать.</w:t>
            </w:r>
          </w:p>
        </w:tc>
      </w:tr>
    </w:tbl>
    <w:p>
      <w:pPr>
        <w:keepNext w:val="0"/>
        <w:keepLines/>
        <w:spacing w:after="40" w:before="0"/>
      </w:pPr>
      <w:r>
        <w:rPr>
          <w:rFonts w:ascii="Arial" w:hAnsi="Arial" w:cs="Arial" w:eastAsia="Arial"/>
          <w:b w:val="0"/>
          <w:color w:val="000000"/>
          <w:sz w:val="4"/>
        </w:rPr>
      </w:r>
    </w:p>
    <w:p>
      <w:r>
        <w:br w:type="page"/>
      </w:r>
    </w:p>
    <w:p>
      <w:pPr>
        <w:pStyle w:val="Heading1"/>
        <w:keepNext/>
      </w:pPr>
      <w:r>
        <w:t>7 Передача объекта и документации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1"/>
        </w:rPr>
        <w:t xml:space="preserve">Передает и принимает: </w:t>
      </w:r>
      <w:r>
        <w:rPr>
          <w:rFonts w:ascii="Arial" w:hAnsi="Arial" w:cs="Arial" w:eastAsia="Arial"/>
          <w:b w:val="0"/>
          <w:color w:val="000000"/>
          <w:sz w:val="21"/>
        </w:rPr>
        <w:t>Подрядчик Б и эксплуатационная служба В указаны как предполагаемые участники. Фактическая передача не состоялась.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 w:val="0"/>
          <w:color w:val="000000"/>
          <w:sz w:val="19"/>
        </w:rPr>
        <w:t>Передачу документации, имущества и средств доступа подтверждают по описи. В графе «Статус» отмечают фактическое получение либо отсутствие.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3763"/>
        <w:gridCol w:w="4041"/>
        <w:gridCol w:w="2230"/>
      </w:tblGrid>
      <w:tr>
        <w:trPr>
          <w:tblHeader/>
          <w:cantSplit/>
        </w:trPr>
        <w:tc>
          <w:tcPr>
            <w:tcW w:type="dxa" w:w="3763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Наименование</w:t>
            </w:r>
          </w:p>
        </w:tc>
        <w:tc>
          <w:tcPr>
            <w:tcW w:type="dxa" w:w="4041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Реквизиты описи и количество</w:t>
            </w:r>
          </w:p>
        </w:tc>
        <w:tc>
          <w:tcPr>
            <w:tcW w:type="dxa" w:w="2230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Статус</w:t>
            </w:r>
          </w:p>
        </w:tc>
      </w:tr>
      <w:tr>
        <w:trPr>
          <w:trHeight w:val="634"/>
          <w:cantSplit/>
        </w:trPr>
        <w:tc>
          <w:tcPr>
            <w:tcW w:type="dxa" w:w="3763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Исполнительная документация</w:t>
            </w:r>
          </w:p>
        </w:tc>
        <w:tc>
          <w:tcPr>
            <w:tcW w:type="dxa" w:w="404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Опись и комплект не представлены.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 передано</w:t>
            </w:r>
          </w:p>
        </w:tc>
      </w:tr>
      <w:tr>
        <w:trPr>
          <w:trHeight w:val="634"/>
          <w:cantSplit/>
        </w:trPr>
        <w:tc>
          <w:tcPr>
            <w:tcW w:type="dxa" w:w="3763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Паспорта и инструкции по эксплуатации</w:t>
            </w:r>
          </w:p>
        </w:tc>
        <w:tc>
          <w:tcPr>
            <w:tcW w:type="dxa" w:w="404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Перечень не согласован.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 передано</w:t>
            </w:r>
          </w:p>
        </w:tc>
      </w:tr>
      <w:tr>
        <w:trPr>
          <w:trHeight w:val="634"/>
          <w:cantSplit/>
        </w:trPr>
        <w:tc>
          <w:tcPr>
            <w:tcW w:type="dxa" w:w="3763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Ключи, доступы, прочее имущество</w:t>
            </w:r>
          </w:p>
        </w:tc>
        <w:tc>
          <w:tcPr>
            <w:tcW w:type="dxa" w:w="4041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Состав передачи не определен.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 передано</w:t>
            </w:r>
          </w:p>
        </w:tc>
      </w:tr>
    </w:tbl>
    <w:p>
      <w:pPr>
        <w:keepNext w:val="0"/>
        <w:keepLines/>
        <w:spacing w:after="40" w:before="0"/>
      </w:pPr>
      <w:r>
        <w:rPr>
          <w:rFonts w:ascii="Arial" w:hAnsi="Arial" w:cs="Arial" w:eastAsia="Arial"/>
          <w:b w:val="0"/>
          <w:color w:val="000000"/>
          <w:sz w:val="4"/>
        </w:rPr>
      </w:r>
    </w:p>
    <w:p>
      <w:pPr>
        <w:pStyle w:val="Heading1"/>
        <w:keepNext/>
      </w:pPr>
      <w:r>
        <w:t>8 Решение и дата начала эксплуатации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/>
          <w:color w:val="000000"/>
          <w:sz w:val="20"/>
        </w:rPr>
        <w:t>Учебное решение: отложить передачу объекта для эксплуатации до подтверждения приемки, разрешительных оснований и выполнения применимых условий. Этот пример не фиксирует готовность объекта.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0"/>
        </w:rPr>
        <w:t xml:space="preserve">Дата начала эксплуатации: </w:t>
      </w:r>
      <w:r>
        <w:rPr>
          <w:rFonts w:ascii="Arial" w:hAnsi="Arial" w:cs="Arial" w:eastAsia="Arial"/>
          <w:b w:val="0"/>
          <w:color w:val="000000"/>
          <w:sz w:val="20"/>
        </w:rPr>
        <w:t>Не назначена. Заполняется после проверки необходимых оснований и устранения препятствующих эксплуатации замечаний.</w:t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20"/>
        </w:rPr>
        <w:t xml:space="preserve">Ответственный и дальнейшие действия: </w:t>
      </w:r>
      <w:r>
        <w:rPr>
          <w:rFonts w:ascii="Arial" w:hAnsi="Arial" w:cs="Arial" w:eastAsia="Arial"/>
          <w:b w:val="0"/>
          <w:color w:val="000000"/>
          <w:sz w:val="20"/>
        </w:rPr>
        <w:t>Заказчику А определить уполномоченного представителя; собрать документы; организовать повторное рассмотрение. Реальное поручение оформляется отдельно.</w:t>
      </w:r>
    </w:p>
    <w:p>
      <w:pPr>
        <w:keepNext w:val="0"/>
        <w:keepLines/>
        <w:spacing w:after="100" w:before="0"/>
      </w:pPr>
      <w:r>
        <w:rPr>
          <w:rFonts w:ascii="Arial" w:hAnsi="Arial" w:cs="Arial" w:eastAsia="Arial"/>
          <w:b w:val="0"/>
          <w:color w:val="000000"/>
          <w:sz w:val="18"/>
        </w:rPr>
        <w:t>Начало эксплуатации не может предшествовать получению обязательного разрешения на ввод, иных требуемых допусков и выполнению применимых условий закона. При отсутствии требования о разрешении проверяют основания по ч. 3 или 4 ст. 55.24 ГрК РФ. Подписание этого акта отсутствующие основания не восполняет.</w:t>
      </w:r>
    </w:p>
    <w:p>
      <w:pPr>
        <w:pStyle w:val="Heading1"/>
        <w:keepNext/>
      </w:pPr>
      <w:r>
        <w:t>9 Подписи и приложения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4320"/>
        <w:gridCol w:w="3484"/>
        <w:gridCol w:w="2230"/>
      </w:tblGrid>
      <w:tr>
        <w:trPr>
          <w:tblHeader/>
          <w:cantSplit/>
        </w:trPr>
        <w:tc>
          <w:tcPr>
            <w:tcW w:type="dxa" w:w="4320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Роль</w:t>
            </w:r>
          </w:p>
        </w:tc>
        <w:tc>
          <w:tcPr>
            <w:tcW w:type="dxa" w:w="3484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Должность и ФИО</w:t>
            </w:r>
          </w:p>
        </w:tc>
        <w:tc>
          <w:tcPr>
            <w:tcW w:type="dxa" w:w="2230"/>
            <w:shd w:fill="E8EDF1"/>
            <w:vAlign w:val="center"/>
          </w:tcPr>
          <w:p>
            <w:pPr>
              <w:keepLines/>
              <w:spacing w:before="0" w:after="0" w:line="247" w:lineRule="auto"/>
              <w:jc w:val="center"/>
            </w:pPr>
            <w:r>
              <w:rPr>
                <w:rFonts w:ascii="Arial" w:hAnsi="Arial" w:cs="Arial" w:eastAsia="Arial"/>
                <w:b/>
                <w:color w:val="000000"/>
                <w:sz w:val="18"/>
              </w:rPr>
              <w:t>Подпись и дата</w:t>
            </w:r>
          </w:p>
        </w:tc>
      </w:tr>
      <w:tr>
        <w:trPr>
          <w:trHeight w:val="504"/>
          <w:cantSplit/>
        </w:trPr>
        <w:tc>
          <w:tcPr>
            <w:tcW w:type="dxa" w:w="432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Утверждает уполномоченное лицо собственника</w:t>
            </w:r>
          </w:p>
        </w:tc>
        <w:tc>
          <w:tcPr>
            <w:tcW w:type="dxa" w:w="3484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 определено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 подписано</w:t>
            </w:r>
          </w:p>
        </w:tc>
      </w:tr>
      <w:tr>
        <w:trPr>
          <w:trHeight w:val="504"/>
          <w:cantSplit/>
        </w:trPr>
        <w:tc>
          <w:tcPr>
            <w:tcW w:type="dxa" w:w="432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Передающая сторона</w:t>
            </w:r>
          </w:p>
        </w:tc>
        <w:tc>
          <w:tcPr>
            <w:tcW w:type="dxa" w:w="3484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 определено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 подписано</w:t>
            </w:r>
          </w:p>
        </w:tc>
      </w:tr>
      <w:tr>
        <w:trPr>
          <w:trHeight w:val="504"/>
          <w:cantSplit/>
        </w:trPr>
        <w:tc>
          <w:tcPr>
            <w:tcW w:type="dxa" w:w="432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Принимающая сторона</w:t>
            </w:r>
          </w:p>
        </w:tc>
        <w:tc>
          <w:tcPr>
            <w:tcW w:type="dxa" w:w="3484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 определено</w:t>
            </w:r>
          </w:p>
        </w:tc>
        <w:tc>
          <w:tcPr>
            <w:tcW w:type="dxa" w:w="2230"/>
            <w:vAlign w:val="center"/>
          </w:tcPr>
          <w:p>
            <w:pPr>
              <w:keepLines/>
              <w:spacing w:before="0" w:after="0" w:line="247" w:lineRule="auto"/>
            </w:pPr>
            <w:r>
              <w:rPr>
                <w:rFonts w:ascii="Arial" w:hAnsi="Arial" w:cs="Arial" w:eastAsia="Arial"/>
                <w:b w:val="0"/>
                <w:color w:val="000000"/>
                <w:sz w:val="18"/>
              </w:rPr>
              <w:t>Не подписано</w:t>
            </w:r>
          </w:p>
        </w:tc>
      </w:tr>
    </w:tbl>
    <w:p>
      <w:pPr>
        <w:keepNext w:val="0"/>
        <w:keepLines/>
        <w:spacing w:after="40" w:before="0"/>
      </w:pPr>
      <w:r>
        <w:rPr>
          <w:rFonts w:ascii="Arial" w:hAnsi="Arial" w:cs="Arial" w:eastAsia="Arial"/>
          <w:b w:val="0"/>
          <w:color w:val="000000"/>
          <w:sz w:val="4"/>
        </w:rPr>
      </w:r>
    </w:p>
    <w:p>
      <w:pPr>
        <w:keepNext w:val="0"/>
        <w:keepLines/>
        <w:spacing w:after="80" w:before="0"/>
      </w:pPr>
      <w:r>
        <w:rPr>
          <w:rFonts w:ascii="Arial" w:hAnsi="Arial" w:cs="Arial" w:eastAsia="Arial"/>
          <w:b w:val="0"/>
          <w:color w:val="000000"/>
          <w:sz w:val="21"/>
        </w:rPr>
      </w:r>
      <w:r>
        <w:rPr>
          <w:rFonts w:ascii="Arial" w:hAnsi="Arial" w:cs="Arial" w:eastAsia="Arial"/>
          <w:b/>
          <w:color w:val="000000"/>
          <w:sz w:val="19"/>
        </w:rPr>
        <w:t xml:space="preserve">Приложения и число экземпляров: </w:t>
      </w:r>
      <w:r>
        <w:rPr>
          <w:rFonts w:ascii="Arial" w:hAnsi="Arial" w:cs="Arial" w:eastAsia="Arial"/>
          <w:b w:val="0"/>
          <w:color w:val="000000"/>
          <w:sz w:val="19"/>
        </w:rPr>
        <w:t>Приложения отсутствуют. Учебный пример не подписывается и не является первичным документом.</w:t>
      </w:r>
    </w:p>
    <w:p>
      <w:pPr>
        <w:keepNext w:val="0"/>
        <w:keepLines/>
        <w:spacing w:after="0" w:before="40"/>
      </w:pPr>
      <w:r>
        <w:rPr>
          <w:rFonts w:ascii="Arial" w:hAnsi="Arial" w:cs="Arial" w:eastAsia="Arial"/>
          <w:b w:val="0"/>
          <w:color w:val="000000"/>
          <w:sz w:val="16"/>
        </w:rPr>
      </w:r>
      <w:r>
        <w:rPr>
          <w:rFonts w:ascii="Arial" w:hAnsi="Arial" w:cs="Arial" w:eastAsia="Arial"/>
          <w:b/>
          <w:color w:val="000000"/>
          <w:sz w:val="16"/>
        </w:rPr>
        <w:t xml:space="preserve">Правовая основа: </w:t>
      </w:r>
      <w:hyperlink r:id="rId10">
        <w:r>
          <w:rPr>
            <w:rFonts w:ascii="Arial" w:hAnsi="Arial"/>
            <w:color w:val="000000"/>
            <w:sz w:val="16"/>
            <w:u w:val="single"/>
          </w:rPr>
          <w:t>п. 4 ст. 753 ГК РФ</w:t>
        </w:r>
      </w:hyperlink>
      <w:r>
        <w:rPr>
          <w:rFonts w:ascii="Arial" w:hAnsi="Arial" w:cs="Arial" w:eastAsia="Arial"/>
          <w:b w:val="0"/>
          <w:color w:val="000000"/>
          <w:sz w:val="16"/>
        </w:rPr>
        <w:t xml:space="preserve">; </w:t>
      </w:r>
      <w:hyperlink r:id="rId11">
        <w:r>
          <w:rPr>
            <w:rFonts w:ascii="Arial" w:hAnsi="Arial"/>
            <w:color w:val="000000"/>
            <w:sz w:val="16"/>
            <w:u w:val="single"/>
          </w:rPr>
          <w:t>ч. 1.1 ст. 55</w:t>
        </w:r>
      </w:hyperlink>
      <w:r>
        <w:rPr>
          <w:rFonts w:ascii="Arial" w:hAnsi="Arial" w:cs="Arial" w:eastAsia="Arial"/>
          <w:b w:val="0"/>
          <w:color w:val="000000"/>
          <w:sz w:val="16"/>
        </w:rPr>
        <w:t xml:space="preserve"> и </w:t>
      </w:r>
      <w:hyperlink r:id="rId12">
        <w:r>
          <w:rPr>
            <w:rFonts w:ascii="Arial" w:hAnsi="Arial"/>
            <w:color w:val="000000"/>
            <w:sz w:val="16"/>
            <w:u w:val="single"/>
          </w:rPr>
          <w:t>ч. 2-4 ст. 55.24 ГрК РФ</w:t>
        </w:r>
      </w:hyperlink>
      <w:r>
        <w:rPr>
          <w:rFonts w:ascii="Arial" w:hAnsi="Arial" w:cs="Arial" w:eastAsia="Arial"/>
          <w:b w:val="0"/>
          <w:color w:val="000000"/>
          <w:sz w:val="16"/>
        </w:rPr>
        <w:t xml:space="preserve">; </w:t>
      </w:r>
      <w:hyperlink r:id="rId13">
        <w:r>
          <w:rPr>
            <w:rFonts w:ascii="Arial" w:hAnsi="Arial"/>
            <w:color w:val="000000"/>
            <w:sz w:val="16"/>
            <w:u w:val="single"/>
          </w:rPr>
          <w:t>приказ Минстроя России от 17.07.2026 № 457/пр</w:t>
        </w:r>
      </w:hyperlink>
      <w:r>
        <w:rPr>
          <w:rFonts w:ascii="Arial" w:hAnsi="Arial" w:cs="Arial" w:eastAsia="Arial"/>
          <w:b w:val="0"/>
          <w:color w:val="000000"/>
          <w:sz w:val="16"/>
        </w:rPr>
        <w:t>. Подготовлено 06.11.2026. Состав полей уточняют по договору и требованиям к конкретному объекту.</w:t>
      </w:r>
    </w:p>
    <w:sectPr w:rsidR="00FC693F" w:rsidRPr="0006063C" w:rsidSect="00034616">
      <w:footerReference w:type="default" r:id="rId9"/>
      <w:pgSz w:w="11906" w:h="16838"/>
      <w:pgMar w:top="792" w:right="936" w:bottom="835" w:left="936" w:header="288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rial" w:hAnsi="Arial" w:cs="Arial" w:eastAsia="Arial"/>
        <w:b w:val="0"/>
        <w:color w:val="000000"/>
        <w:sz w:val="16"/>
      </w:rPr>
      <w:t xml:space="preserve">ИНДЕКС  |  Учебный пример  |  </w:t>
    </w:r>
    <w:r>
      <w:rPr>
        <w:rFonts w:ascii="Arial" w:hAnsi="Arial" w:cs="Arial" w:eastAsia="Arial"/>
        <w:b w:val="0"/>
        <w:color w:val="000000"/>
        <w:sz w:val="16"/>
      </w:rPr>
    </w:r>
    <w:fldSimple w:instr="PAGE"/>
    <w:r>
      <w:rPr>
        <w:rFonts w:ascii="Arial" w:hAnsi="Arial" w:cs="Arial" w:eastAsia="Arial"/>
        <w:b w:val="0"/>
        <w:color w:val="000000"/>
        <w:sz w:val="16"/>
      </w:rPr>
      <w:t xml:space="preserve"> / </w:t>
    </w:r>
    <w:r>
      <w:rPr>
        <w:rFonts w:ascii="Arial" w:hAnsi="Arial" w:cs="Arial" w:eastAsia="Arial"/>
        <w:b w:val="0"/>
        <w:color w:val="000000"/>
        <w:sz w:val="16"/>
      </w:rPr>
    </w:r>
    <w:fldSimple w:instr="NUMPAGES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2" w:lineRule="auto" w:before="0" w:after="80"/>
    </w:pPr>
    <w:rPr>
      <w:rFonts w:ascii="Arial" w:hAnsi="Arial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after="100" w:line="252" w:lineRule="auto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3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 w:line="252" w:lineRule="auto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00" w:line="252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36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252" w:lineRule="auto" w:before="0" w:after="8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2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consultant.ru/document/cons_doc_LAW_9027/6b2d751a0d605616a9a1012cb7c7fbac1b6d84b3/" TargetMode="External"/><Relationship Id="rId11" Type="http://schemas.openxmlformats.org/officeDocument/2006/relationships/hyperlink" Target="https://www.consultant.ru/document/cons_doc_LAW_51040/935a657a2b5f7c7a6436cb756694bb2d649c7a00/" TargetMode="External"/><Relationship Id="rId12" Type="http://schemas.openxmlformats.org/officeDocument/2006/relationships/hyperlink" Target="https://www.consultant.ru/document/cons_doc_LAW_51040/8531126e5f632762e7d7a88d4f684fc1a153faef/" TargetMode="External"/><Relationship Id="rId13" Type="http://schemas.openxmlformats.org/officeDocument/2006/relationships/hyperlink" Target="https://publication.pravo.gov.ru/document/00012026080600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ввода объекта в эксплуатацию</dc:title>
  <dc:subject>Учебный пример внутреннего организационного акта</dc:subject>
  <dc:creator>Экспертный центр ИНДЕКС</dc:creator>
  <cp:keywords>ИНДЕКС, акт ввода, внутренний акт, строительство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